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hd w:fill="ffffff" w:val="clear"/>
        <w:spacing w:after="48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rtl w:val="0"/>
        </w:rPr>
        <w:t xml:space="preserve">section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 representa uma seção genérica. Exemplo, uma lista de resultados de pesquisa ou a exibição de um mapa e seus controles não possuem elementos específicos, podem ser colocados dentro de uma &lt;section&gt;. A tag em questão está utilizando uma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count para contar números alvo.</w:t>
      </w:r>
    </w:p>
    <w:p w:rsidR="00000000" w:rsidDel="00000000" w:rsidP="00000000" w:rsidRDefault="00000000" w:rsidRPr="00000000" w14:paraId="00000002">
      <w:pPr>
        <w:shd w:fill="ffffff" w:val="clear"/>
        <w:spacing w:after="48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00713" cy="49617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961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480" w:before="240" w:lineRule="auto"/>
        <w:rPr/>
      </w:pPr>
      <w:r w:rsidDel="00000000" w:rsidR="00000000" w:rsidRPr="00000000">
        <w:rPr>
          <w:rtl w:val="0"/>
        </w:rPr>
        <w:t xml:space="preserve">Classes: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container </w:t>
      </w:r>
      <w:r w:rsidDel="00000000" w:rsidR="00000000" w:rsidRPr="00000000">
        <w:rPr>
          <w:color w:val="212529"/>
          <w:highlight w:val="white"/>
          <w:rtl w:val="0"/>
        </w:rPr>
        <w:t xml:space="preserve">preenche e alinha seu conteúdo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12529"/>
          <w:highlight w:val="white"/>
        </w:rPr>
      </w:pPr>
      <w:r w:rsidDel="00000000" w:rsidR="00000000" w:rsidRPr="00000000">
        <w:rPr>
          <w:color w:val="212529"/>
          <w:highlight w:val="white"/>
          <w:rtl w:val="0"/>
        </w:rPr>
        <w:t xml:space="preserve">row no-gutter </w:t>
      </w:r>
      <w:r w:rsidDel="00000000" w:rsidR="00000000" w:rsidRPr="00000000">
        <w:rPr>
          <w:color w:val="212529"/>
          <w:highlight w:val="white"/>
          <w:rtl w:val="0"/>
        </w:rPr>
        <w:t xml:space="preserve">usado para espaçar responsivamente e alinhar o conteúdo no container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12529"/>
          <w:highlight w:val="white"/>
          <w:u w:val="none"/>
        </w:rPr>
      </w:pPr>
      <w:r w:rsidDel="00000000" w:rsidR="00000000" w:rsidRPr="00000000">
        <w:rPr>
          <w:color w:val="212529"/>
          <w:highlight w:val="white"/>
          <w:rtl w:val="0"/>
        </w:rPr>
        <w:t xml:space="preserve">award inserem ícones pré definidos existentes no bootstrap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480" w:before="0" w:beforeAutospacing="0" w:lineRule="auto"/>
        <w:ind w:left="720" w:hanging="360"/>
        <w:rPr>
          <w:color w:val="212529"/>
          <w:highlight w:val="white"/>
          <w:u w:val="none"/>
        </w:rPr>
      </w:pPr>
      <w:r w:rsidDel="00000000" w:rsidR="00000000" w:rsidRPr="00000000">
        <w:rPr>
          <w:color w:val="212529"/>
          <w:highlight w:val="white"/>
          <w:rtl w:val="0"/>
        </w:rPr>
        <w:t xml:space="preserve">Classes como “col-lg-3”, “col-md-6”, “d-md-flex” e “align-items-md-stretch” são utilizadas para redimensionar, alinhar e definir responsividade objetos da página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6 - Ao menos quatro dos seis princípios de Design de Interação devem ser destacados e explicados. Essa explicação deverá ser feita por meio de relatório a ser entregue paralelamente ao sistema.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Visibilidade: o botão de “Read More” indica um redirecionamento ao usuário que queira saber mais sobre o projeto, uma função que está em destaque e de fácil compreensão.</w:t>
      </w:r>
    </w:p>
    <w:p w:rsidR="00000000" w:rsidDel="00000000" w:rsidP="00000000" w:rsidRDefault="00000000" w:rsidRPr="00000000" w14:paraId="0000000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485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Feedback: a mudança de cor dos botões indica ao usuário que é um objeto clicável e que fornece uma interação, no caso de apresentar uma lista de doenças relacionadas àquele tópico.</w:t>
      </w:r>
    </w:p>
    <w:p w:rsidR="00000000" w:rsidDel="00000000" w:rsidP="00000000" w:rsidRDefault="00000000" w:rsidRPr="00000000" w14:paraId="0000001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68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Consistência: utilização de padrões na tela do site em diversos tamanhos, como a barra de navegação fixa.</w:t>
      </w:r>
    </w:p>
    <w:p w:rsidR="00000000" w:rsidDel="00000000" w:rsidP="00000000" w:rsidRDefault="00000000" w:rsidRPr="00000000" w14:paraId="0000001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2428875</wp:posOffset>
            </wp:positionH>
            <wp:positionV relativeFrom="paragraph">
              <wp:posOffset>652463</wp:posOffset>
            </wp:positionV>
            <wp:extent cx="2974914" cy="2040930"/>
            <wp:effectExtent b="0" l="0" r="0" t="0"/>
            <wp:wrapTopAndBottom distB="114300" distT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914" cy="2040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292271</wp:posOffset>
            </wp:positionV>
            <wp:extent cx="1328738" cy="2756511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2756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Affordance e Significante: a “seta” apontada para baixo indica que ao clicar será fornecido ao usuário mais conteúdo - uma resposta a pergunta acima.</w:t>
      </w:r>
    </w:p>
    <w:p w:rsidR="00000000" w:rsidDel="00000000" w:rsidP="00000000" w:rsidRDefault="00000000" w:rsidRPr="00000000" w14:paraId="0000001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38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