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4E8338C4" w:rsidR="00FF7B33" w:rsidRPr="00951C77" w:rsidRDefault="002E56F5" w:rsidP="00951C77">
      <w:pPr>
        <w:pStyle w:val="Title"/>
      </w:pPr>
      <w:r>
        <w:t>Fall 2021 – Project 6: Indicator Evaluation</w:t>
      </w:r>
    </w:p>
    <w:p w14:paraId="5F871ED8" w14:textId="270CC369" w:rsidR="00FF7B33" w:rsidRPr="00FF7B33" w:rsidRDefault="002E56F5" w:rsidP="00126D77">
      <w:pPr>
        <w:pStyle w:val="Subtitle"/>
      </w:pPr>
      <w:r>
        <w:t>Michael Lukacsko</w:t>
      </w:r>
      <w:r w:rsidR="00FF7B33">
        <w:br/>
      </w:r>
      <w:r>
        <w:t>mlukacsko3</w:t>
      </w:r>
      <w:r w:rsidR="00FF7B33" w:rsidRPr="00FF7B33">
        <w:t>@</w:t>
      </w:r>
      <w:r w:rsidR="00FD25E7">
        <w:t>gatech.edu</w:t>
      </w:r>
    </w:p>
    <w:p w14:paraId="2186EF48" w14:textId="111E886D" w:rsidR="00784B78" w:rsidRPr="0054029E" w:rsidRDefault="001C52FB" w:rsidP="0054029E">
      <w:pPr>
        <w:pStyle w:val="Abstract"/>
      </w:pPr>
      <w:r w:rsidRPr="0054029E">
        <w:rPr>
          <w:b/>
          <w:bCs/>
          <w:i/>
          <w:iCs/>
        </w:rPr>
        <w:t>Abstract</w:t>
      </w:r>
      <w:r w:rsidR="002E20C6" w:rsidRPr="0054029E">
        <w:rPr>
          <w:b/>
          <w:bCs/>
          <w:i/>
          <w:iCs/>
        </w:rPr>
        <w:t>—</w:t>
      </w:r>
      <w:r w:rsidR="002E56F5">
        <w:rPr>
          <w:rFonts w:eastAsiaTheme="minorHAnsi"/>
        </w:rPr>
        <w:t xml:space="preserve">This project looks </w:t>
      </w:r>
      <w:r w:rsidR="005F184E">
        <w:rPr>
          <w:rFonts w:eastAsiaTheme="minorHAnsi"/>
        </w:rPr>
        <w:t>at two different concepts.  The first is a theoretically optimized trading strategy</w:t>
      </w:r>
      <w:r w:rsidR="008D394A">
        <w:rPr>
          <w:rFonts w:eastAsiaTheme="minorHAnsi"/>
        </w:rPr>
        <w:t xml:space="preserve"> (TOS) vs a benchmark strategy.  The TOS assumes the trader can </w:t>
      </w:r>
      <w:r w:rsidR="00BC2743">
        <w:rPr>
          <w:rFonts w:eastAsiaTheme="minorHAnsi"/>
        </w:rPr>
        <w:t>peek</w:t>
      </w:r>
      <w:r w:rsidR="008D394A">
        <w:rPr>
          <w:rFonts w:eastAsiaTheme="minorHAnsi"/>
        </w:rPr>
        <w:t xml:space="preserve"> into the future.   </w:t>
      </w:r>
      <w:r w:rsidR="00BC2743">
        <w:rPr>
          <w:rFonts w:eastAsiaTheme="minorHAnsi"/>
        </w:rPr>
        <w:t xml:space="preserve">Hence, enabling </w:t>
      </w:r>
      <w:r w:rsidR="008D394A">
        <w:rPr>
          <w:rFonts w:eastAsiaTheme="minorHAnsi"/>
        </w:rPr>
        <w:t>the trade</w:t>
      </w:r>
      <w:r w:rsidR="00BC2743">
        <w:rPr>
          <w:rFonts w:eastAsiaTheme="minorHAnsi"/>
        </w:rPr>
        <w:t>r</w:t>
      </w:r>
      <w:r w:rsidR="008D394A">
        <w:rPr>
          <w:rFonts w:eastAsiaTheme="minorHAnsi"/>
        </w:rPr>
        <w:t xml:space="preserve"> to buy/sell/hold at the most advantageous time </w:t>
      </w:r>
      <w:r w:rsidR="00BC2743">
        <w:rPr>
          <w:rFonts w:eastAsiaTheme="minorHAnsi"/>
        </w:rPr>
        <w:t xml:space="preserve">by </w:t>
      </w:r>
      <w:r w:rsidR="008D394A">
        <w:rPr>
          <w:rFonts w:eastAsiaTheme="minorHAnsi"/>
        </w:rPr>
        <w:t>knowing what will happen to the stock price.  The benchmark strategy, however, buys and hold</w:t>
      </w:r>
      <w:r w:rsidR="00BC2743">
        <w:rPr>
          <w:rFonts w:eastAsiaTheme="minorHAnsi"/>
        </w:rPr>
        <w:t>s</w:t>
      </w:r>
      <w:r w:rsidR="008D394A">
        <w:rPr>
          <w:rFonts w:eastAsiaTheme="minorHAnsi"/>
        </w:rPr>
        <w:t xml:space="preserve"> for a length of time.  The second and last concept </w:t>
      </w:r>
      <w:r w:rsidR="00AA409F">
        <w:rPr>
          <w:rFonts w:eastAsiaTheme="minorHAnsi"/>
        </w:rPr>
        <w:t>is</w:t>
      </w:r>
      <w:r w:rsidR="008D394A">
        <w:rPr>
          <w:rFonts w:eastAsiaTheme="minorHAnsi"/>
        </w:rPr>
        <w:t xml:space="preserve"> trading indicators.  </w:t>
      </w:r>
      <w:r w:rsidR="00AA409F">
        <w:rPr>
          <w:rFonts w:eastAsiaTheme="minorHAnsi"/>
        </w:rPr>
        <w:t>These tools are leveraged to make market trends clear as well as to forecast potential trends in the stock market.</w:t>
      </w:r>
    </w:p>
    <w:p w14:paraId="77C7DD8E" w14:textId="142EBD03" w:rsidR="00D5034D" w:rsidRPr="009B7A17" w:rsidRDefault="008923EA" w:rsidP="00B4491E">
      <w:pPr>
        <w:pStyle w:val="Heading1"/>
      </w:pPr>
      <w:r>
        <w:t>indicators</w:t>
      </w:r>
    </w:p>
    <w:p w14:paraId="1CA8084D" w14:textId="42B337B7" w:rsidR="0054029E" w:rsidRDefault="008923EA" w:rsidP="008923EA">
      <w:r>
        <w:t xml:space="preserve">The indicators used for this project are all mathematically calculated based on the security’s </w:t>
      </w:r>
      <w:r w:rsidR="00BC2743">
        <w:t xml:space="preserve">adjusted closing </w:t>
      </w:r>
      <w:r>
        <w:t>price</w:t>
      </w:r>
      <w:r w:rsidR="008A3D1C">
        <w:t xml:space="preserve"> and encompass a date range of January 1 2008 to December 31 2009</w:t>
      </w:r>
      <w:r>
        <w:t xml:space="preserve">.  </w:t>
      </w:r>
      <w:r w:rsidR="00BC2743">
        <w:t>In general, indicators are used to predict future prices.  The security used in this project is that of JPMorgan Chanse and CO and traded on the New York Stock Exchange (NYSE) as JPM.  For this project, I utilized the following technical indicators:</w:t>
      </w:r>
    </w:p>
    <w:p w14:paraId="040D9B7A" w14:textId="4B9F80EF" w:rsidR="00BC2743" w:rsidRDefault="00BC2743" w:rsidP="00BC2743">
      <w:pPr>
        <w:pStyle w:val="ListParagraph"/>
        <w:numPr>
          <w:ilvl w:val="0"/>
          <w:numId w:val="49"/>
        </w:numPr>
      </w:pPr>
      <w:r>
        <w:t>Simple Moving Average (SMA)</w:t>
      </w:r>
    </w:p>
    <w:p w14:paraId="66A476C4" w14:textId="163F4E04" w:rsidR="00BC2743" w:rsidRDefault="00BC2743" w:rsidP="00BC2743">
      <w:pPr>
        <w:pStyle w:val="ListParagraph"/>
        <w:numPr>
          <w:ilvl w:val="0"/>
          <w:numId w:val="49"/>
        </w:numPr>
      </w:pPr>
      <w:r>
        <w:t>Bollinger Bands</w:t>
      </w:r>
    </w:p>
    <w:p w14:paraId="15A0BECE" w14:textId="710E0AFA" w:rsidR="00BC2743" w:rsidRDefault="00BC2743" w:rsidP="00BC2743">
      <w:pPr>
        <w:pStyle w:val="ListParagraph"/>
        <w:numPr>
          <w:ilvl w:val="0"/>
          <w:numId w:val="49"/>
        </w:numPr>
      </w:pPr>
      <w:r>
        <w:t>Momentum</w:t>
      </w:r>
    </w:p>
    <w:p w14:paraId="42C80B89" w14:textId="4EB2D7B7" w:rsidR="00BC2743" w:rsidRDefault="00BC2743" w:rsidP="00BC2743">
      <w:pPr>
        <w:pStyle w:val="ListParagraph"/>
        <w:numPr>
          <w:ilvl w:val="0"/>
          <w:numId w:val="49"/>
        </w:numPr>
      </w:pPr>
      <w:r>
        <w:t>Moving Average Convergence Divergence (MACD)</w:t>
      </w:r>
    </w:p>
    <w:p w14:paraId="3E0A5422" w14:textId="002F6F5C" w:rsidR="00BC2743" w:rsidRDefault="00BC2743" w:rsidP="00BC2743">
      <w:pPr>
        <w:pStyle w:val="ListParagraph"/>
        <w:numPr>
          <w:ilvl w:val="0"/>
          <w:numId w:val="49"/>
        </w:numPr>
      </w:pPr>
      <w:r>
        <w:t>Volatility</w:t>
      </w:r>
    </w:p>
    <w:p w14:paraId="36CFC40F" w14:textId="2B5A2427" w:rsidR="00111F28" w:rsidRDefault="00111F28" w:rsidP="00111F28"/>
    <w:p w14:paraId="3C29A976" w14:textId="2556DDAC" w:rsidR="00111F28" w:rsidRDefault="00111F28" w:rsidP="00111F28"/>
    <w:p w14:paraId="1082E61B" w14:textId="08C24C64" w:rsidR="00111F28" w:rsidRDefault="00111F28" w:rsidP="00111F28"/>
    <w:p w14:paraId="20F93CBF" w14:textId="149C2981" w:rsidR="00111F28" w:rsidRDefault="00111F28" w:rsidP="00111F28"/>
    <w:p w14:paraId="45F10398" w14:textId="77777777" w:rsidR="00111F28" w:rsidRPr="008923EA" w:rsidRDefault="00111F28" w:rsidP="00111F28"/>
    <w:p w14:paraId="2BF07166" w14:textId="7EDEF49E" w:rsidR="00495608" w:rsidRDefault="00BC2743" w:rsidP="00D23743">
      <w:pPr>
        <w:pStyle w:val="Heading2"/>
      </w:pPr>
      <w:r>
        <w:lastRenderedPageBreak/>
        <w:t>Simple Moving Average (SMA)</w:t>
      </w:r>
    </w:p>
    <w:p w14:paraId="0369D709" w14:textId="71F13EB5" w:rsidR="002142EB" w:rsidRDefault="00947165" w:rsidP="00BC2743">
      <w:r>
        <w:t>The</w:t>
      </w:r>
      <w:r w:rsidR="008A3D1C">
        <w:t xml:space="preserve"> simple moving average indictor </w:t>
      </w:r>
      <w:r>
        <w:t xml:space="preserve">displayed below </w:t>
      </w:r>
      <w:r w:rsidR="00A96607">
        <w:t xml:space="preserve">simply </w:t>
      </w:r>
      <w:r w:rsidR="008A3D1C">
        <w:t>calculates the average</w:t>
      </w:r>
      <w:r w:rsidR="00C834F2">
        <w:t xml:space="preserve"> price over</w:t>
      </w:r>
      <w:r w:rsidR="008A3D1C">
        <w:t xml:space="preserve"> </w:t>
      </w:r>
      <w:r w:rsidR="00C834F2">
        <w:t>the given date</w:t>
      </w:r>
      <w:r w:rsidR="008A3D1C">
        <w:t xml:space="preserve"> range (1/1/2008 – 12/31/2009)</w:t>
      </w:r>
      <w:r w:rsidR="00A96607">
        <w:t xml:space="preserve"> using a</w:t>
      </w:r>
      <w:r w:rsidR="00C834F2">
        <w:t xml:space="preserve"> ‘lookback’.  </w:t>
      </w:r>
      <w:r w:rsidR="00A96607">
        <w:t>The lookback used here is</w:t>
      </w:r>
      <w:r w:rsidR="00C834F2">
        <w:t xml:space="preserve"> 14 day</w:t>
      </w:r>
      <w:r w:rsidR="005344E7">
        <w:t>s</w:t>
      </w:r>
      <w:r w:rsidR="00C834F2">
        <w:t xml:space="preserve">.  </w:t>
      </w:r>
      <w:r w:rsidR="00A96607">
        <w:t>This means</w:t>
      </w:r>
      <w:r w:rsidR="00C834F2">
        <w:t xml:space="preserve"> the adjusted closing price of the stock is </w:t>
      </w:r>
      <w:r>
        <w:t>summed over</w:t>
      </w:r>
      <w:r w:rsidR="00C834F2">
        <w:t xml:space="preserve"> a 14 day period and then divided by 14.  Mathematically, this can be calculated </w:t>
      </w:r>
      <w:r w:rsidR="002142EB">
        <w:t>as:</w:t>
      </w:r>
    </w:p>
    <w:p w14:paraId="4AFC2004" w14:textId="77777777" w:rsidR="00F11167" w:rsidRDefault="002142EB" w:rsidP="00BC2743">
      <w:pPr>
        <w:rPr>
          <w:b/>
          <w:bCs/>
        </w:rPr>
      </w:pPr>
      <w:r>
        <w:t xml:space="preserve"> </w:t>
      </w:r>
      <w:r w:rsidRPr="002142EB">
        <w:rPr>
          <w:b/>
          <w:bCs/>
        </w:rPr>
        <w:t>SMA = (A</w:t>
      </w:r>
      <w:r w:rsidRPr="002142EB">
        <w:rPr>
          <w:b/>
          <w:bCs/>
          <w:vertAlign w:val="subscript"/>
        </w:rPr>
        <w:t>1</w:t>
      </w:r>
      <w:r w:rsidRPr="002142EB">
        <w:rPr>
          <w:b/>
          <w:bCs/>
        </w:rPr>
        <w:t xml:space="preserve"> + A</w:t>
      </w:r>
      <w:r w:rsidRPr="002142EB">
        <w:rPr>
          <w:b/>
          <w:bCs/>
          <w:vertAlign w:val="subscript"/>
        </w:rPr>
        <w:t>2</w:t>
      </w:r>
      <w:r w:rsidRPr="002142EB">
        <w:rPr>
          <w:b/>
          <w:bCs/>
        </w:rPr>
        <w:t xml:space="preserve"> + A</w:t>
      </w:r>
      <w:r w:rsidRPr="002142EB">
        <w:rPr>
          <w:b/>
          <w:bCs/>
          <w:vertAlign w:val="subscript"/>
        </w:rPr>
        <w:t>3</w:t>
      </w:r>
      <w:r w:rsidRPr="002142EB">
        <w:rPr>
          <w:b/>
          <w:bCs/>
        </w:rPr>
        <w:t xml:space="preserve"> … + A</w:t>
      </w:r>
      <w:r w:rsidRPr="002142EB">
        <w:rPr>
          <w:b/>
          <w:bCs/>
          <w:vertAlign w:val="subscript"/>
        </w:rPr>
        <w:t>n</w:t>
      </w:r>
      <w:r w:rsidRPr="002142EB">
        <w:rPr>
          <w:b/>
          <w:bCs/>
        </w:rPr>
        <w:t>) / n</w:t>
      </w:r>
      <w:r>
        <w:rPr>
          <w:b/>
          <w:bCs/>
        </w:rPr>
        <w:t xml:space="preserve"> </w:t>
      </w:r>
    </w:p>
    <w:p w14:paraId="3A011618" w14:textId="57A134B8" w:rsidR="00111F28" w:rsidRDefault="00F11167" w:rsidP="00BC2743">
      <w:r>
        <w:t>W</w:t>
      </w:r>
      <w:r w:rsidR="002142EB">
        <w:t>here</w:t>
      </w:r>
      <w:r>
        <w:t>:</w:t>
      </w:r>
      <w:r w:rsidR="002142EB">
        <w:t xml:space="preserve"> ‘A</w:t>
      </w:r>
      <w:r w:rsidR="002142EB">
        <w:rPr>
          <w:vertAlign w:val="subscript"/>
        </w:rPr>
        <w:t>n</w:t>
      </w:r>
      <w:r w:rsidR="002142EB">
        <w:t xml:space="preserve">’ is </w:t>
      </w:r>
      <w:r w:rsidR="00947165">
        <w:t xml:space="preserve">price </w:t>
      </w:r>
      <w:r w:rsidR="002142EB">
        <w:t>of JPM at period n and ‘n’ is the total number of periods.</w:t>
      </w:r>
    </w:p>
    <w:p w14:paraId="37C51866" w14:textId="2EAE1B24" w:rsidR="00A96607" w:rsidRDefault="002142EB" w:rsidP="00A96607">
      <w:r>
        <w:t xml:space="preserve">In addition to the SMA, I </w:t>
      </w:r>
      <w:r w:rsidR="00947165">
        <w:t xml:space="preserve">elected </w:t>
      </w:r>
      <w:r>
        <w:t>to plot the adj. closing price of JPM</w:t>
      </w:r>
      <w:r w:rsidR="00947165">
        <w:t xml:space="preserve"> as well</w:t>
      </w:r>
      <w:r>
        <w:t xml:space="preserve">.  </w:t>
      </w:r>
      <w:r w:rsidR="00947165">
        <w:t xml:space="preserve">A </w:t>
      </w:r>
      <w:r>
        <w:t>SMA is used for many reason</w:t>
      </w:r>
      <w:r w:rsidR="00947165">
        <w:t>s</w:t>
      </w:r>
      <w:r>
        <w:t>, but primarily to observe whether the price of a stick is trending up or down.</w:t>
      </w:r>
      <w:r w:rsidR="00A96607">
        <w:t xml:space="preserve">  A </w:t>
      </w:r>
      <w:r w:rsidR="00A96607">
        <w:t xml:space="preserve">SMA is easier to interpret because a lot of the high/low volatility has been smoothed out.  </w:t>
      </w:r>
      <w:r w:rsidR="00503857">
        <w:t>As such, a</w:t>
      </w:r>
      <w:r w:rsidR="00A96607">
        <w:t xml:space="preserve"> smoother SMA can be expected over a longer period.  The reduction of noise and smoothness of the line can be seen in the SMA implementation below.</w:t>
      </w:r>
    </w:p>
    <w:p w14:paraId="4532DA7C" w14:textId="738A504D" w:rsidR="00A96607" w:rsidRDefault="00503857" w:rsidP="00BC2743">
      <w:r>
        <w:t>SMA’s</w:t>
      </w:r>
      <w:r w:rsidR="00A96607">
        <w:t xml:space="preserve"> </w:t>
      </w:r>
      <w:r>
        <w:t>are also</w:t>
      </w:r>
      <w:r w:rsidR="00A96607">
        <w:t xml:space="preserve"> used as an indicator of support and/or resistance to moving price</w:t>
      </w:r>
      <w:r>
        <w:t>s</w:t>
      </w:r>
      <w:r w:rsidR="00A96607">
        <w:t xml:space="preserve"> When the price of a stock is above the moving average, it generally indicates strong support.  Hence, a decline in price might have </w:t>
      </w:r>
      <w:r>
        <w:t>difficulty</w:t>
      </w:r>
      <w:r w:rsidR="00A96607">
        <w:t xml:space="preserve"> falling below the SMA price.  Alternatively, if the price</w:t>
      </w:r>
      <w:r>
        <w:t xml:space="preserve"> of a stock</w:t>
      </w:r>
      <w:r w:rsidR="00A96607">
        <w:t xml:space="preserve"> is below the SMA, it </w:t>
      </w:r>
      <w:r>
        <w:t>tends to</w:t>
      </w:r>
      <w:r w:rsidR="00A96607">
        <w:t xml:space="preserve"> experience stronger resistance to raising prices and struggle to move above the SMA.  </w:t>
      </w:r>
    </w:p>
    <w:p w14:paraId="227105FA" w14:textId="29B6AC24" w:rsidR="002142EB" w:rsidRDefault="002142EB" w:rsidP="00BC2743">
      <w:r>
        <w:rPr>
          <w:noProof/>
          <w14:ligatures w14:val="none"/>
          <w14:numForm w14:val="default"/>
          <w14:numSpacing w14:val="default"/>
        </w:rPr>
        <w:drawing>
          <wp:anchor distT="0" distB="0" distL="114300" distR="114300" simplePos="0" relativeHeight="251658240" behindDoc="0" locked="0" layoutInCell="1" allowOverlap="1" wp14:anchorId="716B72E5" wp14:editId="15627295">
            <wp:simplePos x="0" y="0"/>
            <wp:positionH relativeFrom="column">
              <wp:posOffset>8626</wp:posOffset>
            </wp:positionH>
            <wp:positionV relativeFrom="paragraph">
              <wp:posOffset>410916</wp:posOffset>
            </wp:positionV>
            <wp:extent cx="5029200" cy="2000885"/>
            <wp:effectExtent l="114300" t="114300" r="152400" b="151765"/>
            <wp:wrapSquare wrapText="bothSides"/>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2000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B1D87C7" w14:textId="68CA088B" w:rsidR="002142EB" w:rsidRPr="002142EB" w:rsidRDefault="002142EB" w:rsidP="00BC2743"/>
    <w:p w14:paraId="3934119F" w14:textId="44AAF6BB" w:rsidR="0054029E" w:rsidRDefault="00AD5A04" w:rsidP="00D23743">
      <w:pPr>
        <w:pStyle w:val="Heading2"/>
      </w:pPr>
      <w:r>
        <w:lastRenderedPageBreak/>
        <w:t>Bollinger Bands (BB)</w:t>
      </w:r>
    </w:p>
    <w:p w14:paraId="4E87C224" w14:textId="59A31210" w:rsidR="0070162E" w:rsidRDefault="0054029E" w:rsidP="0070162E">
      <w:r w:rsidRPr="0054029E">
        <w:t>I</w:t>
      </w:r>
      <w:r w:rsidR="00503857">
        <w:t xml:space="preserve">n </w:t>
      </w:r>
      <w:r w:rsidR="0070162E">
        <w:t>many</w:t>
      </w:r>
      <w:r w:rsidR="00503857">
        <w:t xml:space="preserve"> cases, a simple moving average is </w:t>
      </w:r>
      <w:r w:rsidR="0070162E">
        <w:t>employed</w:t>
      </w:r>
      <w:r w:rsidR="005344E7">
        <w:t xml:space="preserve"> with </w:t>
      </w:r>
      <w:r w:rsidR="00503857">
        <w:t xml:space="preserve">other indicators.  One such </w:t>
      </w:r>
      <w:r w:rsidR="005344E7">
        <w:t>case is</w:t>
      </w:r>
      <w:r w:rsidR="00503857">
        <w:t xml:space="preserve"> </w:t>
      </w:r>
      <w:r w:rsidR="005344E7">
        <w:t xml:space="preserve">my implementation of </w:t>
      </w:r>
      <w:r w:rsidR="00503857">
        <w:t>Bollinger Bands</w:t>
      </w:r>
      <w:r w:rsidR="0070162E">
        <w:t xml:space="preserve"> (BB)</w:t>
      </w:r>
      <w:r w:rsidR="00503857">
        <w:t xml:space="preserve">.   </w:t>
      </w:r>
      <w:r w:rsidR="0070162E">
        <w:t>The Bollinger Bands displayed below make use of an upper and lower band, each being a representation of the SMA adjusted by a standard deviation equal to two.</w:t>
      </w:r>
      <w:r w:rsidR="00F11167">
        <w:t xml:space="preserve">  </w:t>
      </w:r>
      <w:r w:rsidR="0011618C">
        <w:t xml:space="preserve">Also included in the graph is the stocks adjusted daily closing price.  </w:t>
      </w:r>
      <w:r w:rsidR="0070162E">
        <w:t>Programmatically, BBs c</w:t>
      </w:r>
      <w:r w:rsidR="00F11167">
        <w:t xml:space="preserve">an be implemented as follows: </w:t>
      </w:r>
    </w:p>
    <w:p w14:paraId="1FE38630" w14:textId="77777777" w:rsidR="00AE560A" w:rsidRDefault="00F11167" w:rsidP="00F11167">
      <w:pPr>
        <w:rPr>
          <w:b/>
          <w:bCs/>
        </w:rPr>
      </w:pPr>
      <w:proofErr w:type="spellStart"/>
      <w:r>
        <w:rPr>
          <w:b/>
          <w:bCs/>
        </w:rPr>
        <w:t>BB_Upper</w:t>
      </w:r>
      <w:proofErr w:type="spellEnd"/>
      <w:r>
        <w:rPr>
          <w:b/>
          <w:bCs/>
        </w:rPr>
        <w:t xml:space="preserve"> = MA + (m * </w:t>
      </w:r>
      <w:r w:rsidRPr="00F11167">
        <w:rPr>
          <w:b/>
          <w:bCs/>
        </w:rPr>
        <w:t>σ[</w:t>
      </w:r>
      <w:proofErr w:type="spellStart"/>
      <w:r w:rsidRPr="00F11167">
        <w:rPr>
          <w:b/>
          <w:bCs/>
        </w:rPr>
        <w:t>TP,n</w:t>
      </w:r>
      <w:proofErr w:type="spellEnd"/>
      <w:r w:rsidRPr="00F11167">
        <w:rPr>
          <w:b/>
          <w:bCs/>
        </w:rPr>
        <w:t>]</w:t>
      </w:r>
      <w:r>
        <w:rPr>
          <w:b/>
          <w:bCs/>
        </w:rPr>
        <w:t>)</w:t>
      </w:r>
    </w:p>
    <w:p w14:paraId="3F7BB3E3" w14:textId="19E922AA" w:rsidR="00F11167" w:rsidRDefault="00F11167" w:rsidP="00F11167">
      <w:pPr>
        <w:rPr>
          <w:b/>
          <w:bCs/>
        </w:rPr>
      </w:pPr>
      <w:proofErr w:type="spellStart"/>
      <w:r>
        <w:rPr>
          <w:b/>
          <w:bCs/>
        </w:rPr>
        <w:t>BB_</w:t>
      </w:r>
      <w:r>
        <w:rPr>
          <w:b/>
          <w:bCs/>
        </w:rPr>
        <w:t>Lower</w:t>
      </w:r>
      <w:proofErr w:type="spellEnd"/>
      <w:r>
        <w:rPr>
          <w:b/>
          <w:bCs/>
        </w:rPr>
        <w:t xml:space="preserve"> = MA </w:t>
      </w:r>
      <w:r>
        <w:rPr>
          <w:b/>
          <w:bCs/>
        </w:rPr>
        <w:t>-</w:t>
      </w:r>
      <w:r>
        <w:rPr>
          <w:b/>
          <w:bCs/>
        </w:rPr>
        <w:t xml:space="preserve"> (m * </w:t>
      </w:r>
      <w:r w:rsidRPr="00F11167">
        <w:rPr>
          <w:b/>
          <w:bCs/>
        </w:rPr>
        <w:t>σ[</w:t>
      </w:r>
      <w:proofErr w:type="spellStart"/>
      <w:r w:rsidRPr="00F11167">
        <w:rPr>
          <w:b/>
          <w:bCs/>
        </w:rPr>
        <w:t>TP,n</w:t>
      </w:r>
      <w:proofErr w:type="spellEnd"/>
      <w:r w:rsidRPr="00F11167">
        <w:rPr>
          <w:b/>
          <w:bCs/>
        </w:rPr>
        <w:t>]</w:t>
      </w:r>
      <w:r>
        <w:rPr>
          <w:b/>
          <w:bCs/>
        </w:rPr>
        <w:t>)</w:t>
      </w:r>
    </w:p>
    <w:p w14:paraId="46D32E81" w14:textId="72E02016" w:rsidR="00F11167" w:rsidRDefault="00537D62" w:rsidP="00F11167">
      <w:r>
        <w:rPr>
          <w:noProof/>
          <w14:ligatures w14:val="none"/>
          <w14:numForm w14:val="default"/>
          <w14:numSpacing w14:val="default"/>
        </w:rPr>
        <w:drawing>
          <wp:anchor distT="0" distB="0" distL="114300" distR="114300" simplePos="0" relativeHeight="251659264" behindDoc="0" locked="0" layoutInCell="1" allowOverlap="1" wp14:anchorId="6AA1910B" wp14:editId="690D80DC">
            <wp:simplePos x="0" y="0"/>
            <wp:positionH relativeFrom="margin">
              <wp:posOffset>12065</wp:posOffset>
            </wp:positionH>
            <wp:positionV relativeFrom="paragraph">
              <wp:posOffset>909955</wp:posOffset>
            </wp:positionV>
            <wp:extent cx="4872355" cy="1972945"/>
            <wp:effectExtent l="114300" t="114300" r="118745" b="160655"/>
            <wp:wrapTopAndBottom/>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2355" cy="1972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11167" w:rsidRPr="00F11167">
        <w:t xml:space="preserve">Where: </w:t>
      </w:r>
      <w:r w:rsidR="00F11167">
        <w:t>MA is the moving averaged, ‘m’ is the number of stand</w:t>
      </w:r>
      <w:r w:rsidR="0011618C">
        <w:t>ard</w:t>
      </w:r>
      <w:r w:rsidR="00F11167">
        <w:t xml:space="preserve"> deviations, and ‘</w:t>
      </w:r>
      <w:r w:rsidR="00F11167" w:rsidRPr="00F11167">
        <w:t>σ[</w:t>
      </w:r>
      <w:proofErr w:type="spellStart"/>
      <w:r w:rsidR="00F11167" w:rsidRPr="00F11167">
        <w:t>TP,n</w:t>
      </w:r>
      <w:proofErr w:type="spellEnd"/>
      <w:r w:rsidR="00F11167" w:rsidRPr="00F11167">
        <w:t>]</w:t>
      </w:r>
      <w:r w:rsidR="00F11167">
        <w:t>’ is the standard deviation over the last n periods using the stock price, ‘TP’.</w:t>
      </w:r>
    </w:p>
    <w:p w14:paraId="41F4564B" w14:textId="277FF4D4" w:rsidR="00537D62" w:rsidRDefault="00537D62" w:rsidP="00537D62"/>
    <w:p w14:paraId="51D459D7" w14:textId="32B4C817" w:rsidR="00537D62" w:rsidRDefault="00F1741A" w:rsidP="00537D62">
      <w:r>
        <w:t>Bollinger Bands are typically used by traders to analyze the volatility and whether the price is high or low signaling a time to buy or sell a stock.  Regarding volatility, trader looks at BBs for what is referred to as a squeeze.  This occurs when the bands move closer together and limit the moving average.  A squeeze signifies a period of low volatility and can indicate a future period of higher volatility and</w:t>
      </w:r>
      <w:r w:rsidR="0011618C">
        <w:t>, as a result, a</w:t>
      </w:r>
      <w:r>
        <w:t xml:space="preserve"> potential trading opportunit</w:t>
      </w:r>
      <w:r w:rsidR="0011618C">
        <w:t>y</w:t>
      </w:r>
      <w:r>
        <w:t xml:space="preserve">.  On the other hand, when the bands move further apart, traders might exit a trade because it is more likely there will be a </w:t>
      </w:r>
      <w:r w:rsidR="0011618C">
        <w:t xml:space="preserve">period where volatility </w:t>
      </w:r>
      <w:r>
        <w:t>decrease</w:t>
      </w:r>
      <w:r w:rsidR="0011618C">
        <w:t xml:space="preserve">s.  </w:t>
      </w:r>
    </w:p>
    <w:p w14:paraId="31987D26" w14:textId="4205F1A6" w:rsidR="00537D62" w:rsidRDefault="00537D62" w:rsidP="00537D62"/>
    <w:p w14:paraId="20723705" w14:textId="6B27221C" w:rsidR="00071AD7" w:rsidRDefault="00537D62" w:rsidP="00537D62">
      <w:r>
        <w:t xml:space="preserve">As previously mentioned, Bollinger Bands can </w:t>
      </w:r>
      <w:r w:rsidR="00071AD7">
        <w:t xml:space="preserve">also </w:t>
      </w:r>
      <w:r>
        <w:t>signal when the price is high or low, hence</w:t>
      </w:r>
      <w:r w:rsidR="00071AD7">
        <w:t>, making the incident</w:t>
      </w:r>
      <w:r>
        <w:t xml:space="preserve"> a profitable time to buy or sell.  </w:t>
      </w:r>
      <w:r w:rsidR="00071AD7">
        <w:t xml:space="preserve">Known as a breakout, an indicator happens when the </w:t>
      </w:r>
      <w:r>
        <w:t xml:space="preserve">price of </w:t>
      </w:r>
      <w:r w:rsidR="00071AD7">
        <w:t xml:space="preserve">a </w:t>
      </w:r>
      <w:r>
        <w:t xml:space="preserve">stock </w:t>
      </w:r>
      <w:r w:rsidR="00071AD7">
        <w:t>goes above the upper band signaling a strong time to sell, and wh</w:t>
      </w:r>
      <w:r>
        <w:t xml:space="preserve">ere </w:t>
      </w:r>
      <w:r w:rsidR="00071AD7">
        <w:t xml:space="preserve">the price dips below the lower band signaling a strong buying opportunity.  </w:t>
      </w:r>
      <w:r>
        <w:t xml:space="preserve"> </w:t>
      </w:r>
      <w:r w:rsidR="00071AD7">
        <w:t>Some examples of a breakout, along with the squeeze, can be seen below.  The graph below uses a subset of data, between June 1, 2009 and December 31 2009, to more clearly show the presence of breakouts.</w:t>
      </w:r>
    </w:p>
    <w:p w14:paraId="791434C8" w14:textId="7A5CBE85" w:rsidR="00537D62" w:rsidRDefault="00071AD7" w:rsidP="00537D62">
      <w:r>
        <w:t xml:space="preserve">  </w:t>
      </w:r>
    </w:p>
    <w:p w14:paraId="4C3C55D8" w14:textId="7777C88B" w:rsidR="00071AD7" w:rsidRDefault="00EB184D">
      <w:pPr>
        <w:spacing w:after="160" w:line="259" w:lineRule="auto"/>
        <w:jc w:val="left"/>
      </w:pPr>
      <w:r>
        <w:rPr>
          <w:noProof/>
          <w14:ligatures w14:val="none"/>
          <w14:numForm w14:val="default"/>
          <w14:numSpacing w14:val="default"/>
        </w:rPr>
        <w:drawing>
          <wp:inline distT="0" distB="0" distL="0" distR="0" wp14:anchorId="49557043" wp14:editId="76A30FA3">
            <wp:extent cx="5029200" cy="1968500"/>
            <wp:effectExtent l="133350" t="133350" r="152400" b="16510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stretch>
                      <a:fillRect/>
                    </a:stretch>
                  </pic:blipFill>
                  <pic:spPr>
                    <a:xfrm>
                      <a:off x="0" y="0"/>
                      <a:ext cx="5029200" cy="196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71AD7">
        <w:br w:type="page"/>
      </w:r>
    </w:p>
    <w:p w14:paraId="60CD3A23" w14:textId="59CAD775" w:rsidR="00E42452" w:rsidRPr="00E42452" w:rsidRDefault="00AA3D38" w:rsidP="00D23743">
      <w:pPr>
        <w:pStyle w:val="Heading2"/>
      </w:pPr>
      <w:r>
        <w:lastRenderedPageBreak/>
        <w:t xml:space="preserve">Rate Of Change (ROC) </w:t>
      </w:r>
      <w:r w:rsidR="0011618C">
        <w:t>Momentum</w:t>
      </w:r>
    </w:p>
    <w:p w14:paraId="6596F07B" w14:textId="037706A9" w:rsidR="00AA3D38" w:rsidRDefault="00AA3D38" w:rsidP="00495608">
      <w:r>
        <w:t>Rate Of Change</w:t>
      </w:r>
      <w:r w:rsidR="0034345B">
        <w:t xml:space="preserve"> momentum is a</w:t>
      </w:r>
      <w:r>
        <w:t xml:space="preserve"> measurement of change in stock price between the current price and the price over a </w:t>
      </w:r>
      <w:r w:rsidR="0034345B">
        <w:t xml:space="preserve">configurable </w:t>
      </w:r>
      <w:r>
        <w:t xml:space="preserve">number of periods.  ROC momentum indicators </w:t>
      </w:r>
      <w:r w:rsidR="00506258">
        <w:t xml:space="preserve">are </w:t>
      </w:r>
      <w:r w:rsidR="00506258" w:rsidRPr="00506258">
        <w:t xml:space="preserve">plotted against </w:t>
      </w:r>
      <w:r w:rsidR="00506258">
        <w:t xml:space="preserve">a </w:t>
      </w:r>
      <w:r w:rsidR="00506258" w:rsidRPr="00506258">
        <w:t>zero</w:t>
      </w:r>
      <w:r w:rsidR="00506258">
        <w:t xml:space="preserve"> line to distinguish positive and negative values.  When </w:t>
      </w:r>
      <w:r w:rsidR="00506258" w:rsidRPr="00506258">
        <w:t xml:space="preserve">price changes are </w:t>
      </w:r>
      <w:r w:rsidR="0034345B">
        <w:t xml:space="preserve">on </w:t>
      </w:r>
      <w:r w:rsidR="00506258" w:rsidRPr="00506258">
        <w:t>the upside</w:t>
      </w:r>
      <w:r w:rsidR="00506258">
        <w:t xml:space="preserve">, the </w:t>
      </w:r>
      <w:r w:rsidR="00506258" w:rsidRPr="00506258">
        <w:t>indicator</w:t>
      </w:r>
      <w:r w:rsidR="00506258" w:rsidRPr="00506258">
        <w:t xml:space="preserve"> mov</w:t>
      </w:r>
      <w:r w:rsidR="00506258">
        <w:t>es</w:t>
      </w:r>
      <w:r w:rsidR="00506258" w:rsidRPr="00506258">
        <w:t xml:space="preserve"> </w:t>
      </w:r>
      <w:r w:rsidR="00506258">
        <w:t>above the zero line</w:t>
      </w:r>
      <w:r w:rsidR="00506258" w:rsidRPr="00506258">
        <w:t xml:space="preserve"> into positive territory</w:t>
      </w:r>
      <w:r w:rsidR="0034345B">
        <w:t>.  When price changes are on the downside, this measurement</w:t>
      </w:r>
      <w:r w:rsidR="00506258" w:rsidRPr="00506258">
        <w:t xml:space="preserve"> mov</w:t>
      </w:r>
      <w:r w:rsidR="00506258">
        <w:t xml:space="preserve">es below the zero </w:t>
      </w:r>
      <w:r w:rsidR="0034345B">
        <w:t xml:space="preserve">line </w:t>
      </w:r>
      <w:r w:rsidR="0034345B" w:rsidRPr="00506258">
        <w:t>into</w:t>
      </w:r>
      <w:r w:rsidR="00506258" w:rsidRPr="00506258">
        <w:t xml:space="preserve"> negative territory.</w:t>
      </w:r>
      <w:r w:rsidR="00506258">
        <w:t xml:space="preserve">  Traders use positive momentum above </w:t>
      </w:r>
      <w:r w:rsidR="0034345B">
        <w:t xml:space="preserve">the </w:t>
      </w:r>
      <w:r w:rsidR="00506258">
        <w:t xml:space="preserve">zero </w:t>
      </w:r>
      <w:r w:rsidR="0034345B">
        <w:t xml:space="preserve">line </w:t>
      </w:r>
      <w:r w:rsidR="00506258">
        <w:t xml:space="preserve">to indicate the presence of buying pressure, while negative momentum below the zero line </w:t>
      </w:r>
      <w:r w:rsidR="0034345B">
        <w:t xml:space="preserve">often coincides with </w:t>
      </w:r>
      <w:r w:rsidR="00506258">
        <w:t xml:space="preserve">the presence of selling pressure.  </w:t>
      </w:r>
      <w:r w:rsidR="0034345B">
        <w:t>The following formula can be used to calculate ROC momentum:</w:t>
      </w:r>
    </w:p>
    <w:p w14:paraId="6C2D4FDF" w14:textId="22632C9E" w:rsidR="0034345B" w:rsidRDefault="0034345B" w:rsidP="00495608">
      <w:r>
        <w:rPr>
          <w:b/>
          <w:bCs/>
        </w:rPr>
        <w:t>Momentum = V – V</w:t>
      </w:r>
      <w:r>
        <w:rPr>
          <w:b/>
          <w:bCs/>
          <w:vertAlign w:val="subscript"/>
        </w:rPr>
        <w:t>x</w:t>
      </w:r>
      <w:r>
        <w:rPr>
          <w:b/>
          <w:bCs/>
        </w:rPr>
        <w:t xml:space="preserve"> </w:t>
      </w:r>
      <w:r>
        <w:t xml:space="preserve">where ‘V’ is the stock price, and ‘x’ is the number of days in the period.  </w:t>
      </w:r>
    </w:p>
    <w:p w14:paraId="34D9A746" w14:textId="383ABA58" w:rsidR="00E42452" w:rsidRDefault="00594BF7" w:rsidP="00495608">
      <w:r>
        <w:t>For the below implementation graphic, a 10 day period was used which is considered the industry standard.  Furthermore, I normalized JPMs stock value for this comparison</w:t>
      </w:r>
      <w:r w:rsidR="00E42452">
        <w:t xml:space="preserve"> and subtracted 1 from the calculation about such that the zero line would be visible.  Some statisticians will multiply the calculation above by 100 to show values as a percentage</w:t>
      </w:r>
      <w:r>
        <w:t xml:space="preserve">.  </w:t>
      </w:r>
      <w:r w:rsidR="00E42452">
        <w:t>For my purpose, t</w:t>
      </w:r>
      <w:r>
        <w:t xml:space="preserve">he advantage </w:t>
      </w:r>
      <w:r w:rsidR="00E42452">
        <w:t>is visible; the normalized stock price is easier to compare using normalized stock data and subtracting 1</w:t>
      </w:r>
    </w:p>
    <w:p w14:paraId="0E10E33E" w14:textId="28BF1779" w:rsidR="00594BF7" w:rsidRDefault="00594BF7" w:rsidP="00495608"/>
    <w:p w14:paraId="4B2C298D" w14:textId="0D1989E1" w:rsidR="00594BF7" w:rsidRDefault="00E42452" w:rsidP="00495608">
      <w:r>
        <w:rPr>
          <w:noProof/>
          <w14:ligatures w14:val="none"/>
          <w14:numForm w14:val="default"/>
          <w14:numSpacing w14:val="default"/>
        </w:rPr>
        <w:drawing>
          <wp:anchor distT="0" distB="0" distL="114300" distR="114300" simplePos="0" relativeHeight="251660288" behindDoc="0" locked="0" layoutInCell="1" allowOverlap="1" wp14:anchorId="33BB79C6" wp14:editId="27CB3B4E">
            <wp:simplePos x="0" y="0"/>
            <wp:positionH relativeFrom="margin">
              <wp:align>center</wp:align>
            </wp:positionH>
            <wp:positionV relativeFrom="paragraph">
              <wp:posOffset>600495</wp:posOffset>
            </wp:positionV>
            <wp:extent cx="5029200" cy="1932305"/>
            <wp:effectExtent l="133350" t="114300" r="152400" b="163195"/>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93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70DE955" w14:textId="2BBD3487" w:rsidR="00594BF7" w:rsidRDefault="00594BF7" w:rsidP="00495608"/>
    <w:p w14:paraId="1494DFEF" w14:textId="4C24D189" w:rsidR="00594BF7" w:rsidRDefault="00D23743" w:rsidP="00D23743">
      <w:pPr>
        <w:pStyle w:val="Heading2"/>
      </w:pPr>
      <w:r>
        <w:t>Moving Average Convergence/Divergence (MACD)</w:t>
      </w:r>
    </w:p>
    <w:p w14:paraId="3443399A" w14:textId="20FF317D" w:rsidR="00D23743" w:rsidRDefault="00D23743" w:rsidP="00D23743">
      <w:r>
        <w:t xml:space="preserve">MACD indicators is classified as another type of momentum indicator.  </w:t>
      </w:r>
      <w:r w:rsidR="003849C1">
        <w:t xml:space="preserve">Like Bollinger Bands, </w:t>
      </w:r>
      <w:r>
        <w:t xml:space="preserve">MACD uses two lines, however, the </w:t>
      </w:r>
      <w:r w:rsidR="00AE560A">
        <w:t xml:space="preserve">lines of a MACD indicator represent the relationship between two exponential moving averages.  The first line plotted for </w:t>
      </w:r>
      <w:r w:rsidR="003849C1">
        <w:t>a</w:t>
      </w:r>
      <w:r w:rsidR="00AE560A">
        <w:t xml:space="preserve"> MACD indicator is </w:t>
      </w:r>
      <w:r w:rsidR="003849C1">
        <w:t xml:space="preserve">the </w:t>
      </w:r>
      <w:r w:rsidR="00AE560A">
        <w:t xml:space="preserve">difference between the 12 period exponential moving average (EMA) and 26 period EMA and is the MACD line.   </w:t>
      </w:r>
      <w:r>
        <w:t xml:space="preserve"> </w:t>
      </w:r>
      <w:r w:rsidR="00AE560A">
        <w:t>The second line plotted for this indicator is called the signal line.  It is the 9 period EMA of the MACD line.  The MACD and signal line can be calculated using the following formula:</w:t>
      </w:r>
    </w:p>
    <w:p w14:paraId="7D35F362" w14:textId="5572D0A1" w:rsidR="00AE560A" w:rsidRDefault="00AE560A" w:rsidP="00D23743">
      <w:pPr>
        <w:rPr>
          <w:b/>
          <w:bCs/>
        </w:rPr>
      </w:pPr>
      <w:r>
        <w:rPr>
          <w:b/>
          <w:bCs/>
        </w:rPr>
        <w:t>MACD = 12 period EMA – 26 period EMA</w:t>
      </w:r>
    </w:p>
    <w:p w14:paraId="62DC1A13" w14:textId="7B732368" w:rsidR="00AE560A" w:rsidRDefault="00AE560A" w:rsidP="00D23743">
      <w:pPr>
        <w:rPr>
          <w:b/>
          <w:bCs/>
        </w:rPr>
      </w:pPr>
      <w:r>
        <w:rPr>
          <w:b/>
          <w:bCs/>
        </w:rPr>
        <w:t>Signal Line = 9 period EMA</w:t>
      </w:r>
      <w:r w:rsidR="003849C1">
        <w:rPr>
          <w:b/>
          <w:bCs/>
        </w:rPr>
        <w:t xml:space="preserve"> of MACD</w:t>
      </w:r>
    </w:p>
    <w:p w14:paraId="0141CB39" w14:textId="77777777" w:rsidR="00AE560A" w:rsidRPr="003849C1" w:rsidRDefault="00AE560A" w:rsidP="00D23743"/>
    <w:p w14:paraId="788CFC96" w14:textId="232AEEAF" w:rsidR="00DC380E" w:rsidRDefault="003849C1" w:rsidP="00495608">
      <w:r>
        <w:t xml:space="preserve">MACD indicators signal a bullish or bearish market.  A MACD line crossing above the zero line signals bullish conditions, while a MACD line crossing below zero signals bearish condition.  </w:t>
      </w:r>
      <w:r w:rsidR="00845516">
        <w:t>Additional signs bullish conditions exist are when the MACD crosses from below to above the signal line.  Inversely, the signaling of bearish conditions occur when the when the MACD crosses from above to below the signal line</w:t>
      </w:r>
      <w:r w:rsidR="00F51ED1">
        <w:t xml:space="preserve">.  </w:t>
      </w:r>
    </w:p>
    <w:p w14:paraId="34147DEA" w14:textId="48674B04" w:rsidR="00E4357B" w:rsidRDefault="00E4357B" w:rsidP="00495608">
      <w:r>
        <w:t xml:space="preserve">In the below graphed MACD implementation, the blue line representing the MACD is seen crossing the zero line where arrows exist.  When compared to the included graph of JPM’s adj. closing price, we can see how this indictor signals a buy when the signal crosses above the zero line and a sell when crossing below it.  Moreover, where the signal line (orange) crosses below the MACD line, another signal to sell is indicated.  When the MACD line crosses above the signal line, a strong buy indication exists.  </w:t>
      </w:r>
    </w:p>
    <w:p w14:paraId="2EC70864" w14:textId="1EF15A21" w:rsidR="00DC380E" w:rsidRDefault="00E4357B" w:rsidP="00495608">
      <w:r>
        <w:rPr>
          <w:noProof/>
          <w14:ligatures w14:val="none"/>
          <w14:numForm w14:val="default"/>
          <w14:numSpacing w14:val="default"/>
        </w:rPr>
        <w:lastRenderedPageBreak/>
        <mc:AlternateContent>
          <mc:Choice Requires="wps">
            <w:drawing>
              <wp:anchor distT="0" distB="0" distL="114300" distR="114300" simplePos="0" relativeHeight="251663360" behindDoc="0" locked="0" layoutInCell="1" allowOverlap="1" wp14:anchorId="0C134456" wp14:editId="5587841D">
                <wp:simplePos x="0" y="0"/>
                <wp:positionH relativeFrom="column">
                  <wp:posOffset>3621752</wp:posOffset>
                </wp:positionH>
                <wp:positionV relativeFrom="paragraph">
                  <wp:posOffset>1435578</wp:posOffset>
                </wp:positionV>
                <wp:extent cx="45719" cy="1437017"/>
                <wp:effectExtent l="76200" t="38100" r="50165" b="48895"/>
                <wp:wrapNone/>
                <wp:docPr id="12" name="Straight Arrow Connector 12"/>
                <wp:cNvGraphicFramePr/>
                <a:graphic xmlns:a="http://schemas.openxmlformats.org/drawingml/2006/main">
                  <a:graphicData uri="http://schemas.microsoft.com/office/word/2010/wordprocessingShape">
                    <wps:wsp>
                      <wps:cNvCnPr/>
                      <wps:spPr>
                        <a:xfrm flipV="1">
                          <a:off x="0" y="0"/>
                          <a:ext cx="45719" cy="143701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A5DBC8" id="_x0000_t32" coordsize="21600,21600" o:spt="32" o:oned="t" path="m,l21600,21600e" filled="f">
                <v:path arrowok="t" fillok="f" o:connecttype="none"/>
                <o:lock v:ext="edit" shapetype="t"/>
              </v:shapetype>
              <v:shape id="Straight Arrow Connector 12" o:spid="_x0000_s1026" type="#_x0000_t32" style="position:absolute;margin-left:285.2pt;margin-top:113.05pt;width:3.6pt;height:113.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cP5wEAACwEAAAOAAAAZHJzL2Uyb0RvYy54bWysU02P0zAQvSPxHyzfaZKyULZqukJd4IKg&#10;2mW5e51xY8lfGpum/feMnTQgWCGBuIz8Me953pvx5uZkDTsCRu1dy5tFzRk46TvtDi1/+PL+xRvO&#10;YhKuE8Y7aPkZIr/ZPn+2GcIalr73pgNkROLieggt71MK66qKsgcr4sIHcHSpPFqRaIuHqkMxELs1&#10;1bKuX1eDxy6glxAjnd6Ol3xb+JUCmT4rFSEx03KqLZWIJT7mWG03Yn1AEXotpzLEP1RhhXb06Ex1&#10;K5Jg31D/RmW1RB+9SgvpbeWV0hKKBlLT1L+oue9FgKKFzIlhtin+P1r56bhHpjvq3ZIzJyz16D6h&#10;0Ic+sbeIfmA77xz56JFRCvk1hLgm2M7tcdrFsMcs/qTQMmV0+Ep0xQ4SyE7F7fPsNpwSk3R49WrV&#10;XHMm6aa5ermqm1Vmr0aaTBcwpg/gLcuLlseprLme8Qlx/BjTCLwAMti4HHsQ3TvXsXQOJCyhFu5g&#10;YOx6Eto8fUc1ZHiVlY7ayiqdDYzUd6DIM9IwllCmFXYG2VHQnAkpwaVmUmMcZWeY0sbMwLrY80fg&#10;lJ+hUCb5b8AzorzsXZrBVjuPT72eTpeS1Zh/cWDUnS149N25dL1YQyNZ+jV9nzzzP+8L/Mcn334H&#10;AAD//wMAUEsDBBQABgAIAAAAIQDReMqo3QAAAAsBAAAPAAAAZHJzL2Rvd25yZXYueG1sTI/LTsMw&#10;EEX3SPyDNUjsqN0ojyrEqRASSxaEfIAbD0laexzFzoO/x6xgObpH956pzrs1bMXZj44kHA8CGFLn&#10;9Ei9hPbz7ekEzAdFWhlHKOEbPZzr+7tKldpt9IFrE3oWS8iXSsIQwlRy7rsBrfIHNyHF7MvNVoV4&#10;zj3Xs9piuTU8ESLnVo0UFwY14euA3a1ZrATfd2rZhHF+aYr2+r62Vlsh5ePD/vIMLOAe/mD41Y/q&#10;UEeni1tIe2YkZIVIIyohSfIjsEhkRZEDu0hIsyQFXlf8/w/1DwAAAP//AwBQSwECLQAUAAYACAAA&#10;ACEAtoM4kv4AAADhAQAAEwAAAAAAAAAAAAAAAAAAAAAAW0NvbnRlbnRfVHlwZXNdLnhtbFBLAQIt&#10;ABQABgAIAAAAIQA4/SH/1gAAAJQBAAALAAAAAAAAAAAAAAAAAC8BAABfcmVscy8ucmVsc1BLAQIt&#10;ABQABgAIAAAAIQAZ3/cP5wEAACwEAAAOAAAAAAAAAAAAAAAAAC4CAABkcnMvZTJvRG9jLnhtbFBL&#10;AQItABQABgAIAAAAIQDReMqo3QAAAAsBAAAPAAAAAAAAAAAAAAAAAEEEAABkcnMvZG93bnJldi54&#10;bWxQSwUGAAAAAAQABADzAAAASwUAAAAA&#10;" strokecolor="#4472c4 [3204]" strokeweight=".5pt">
                <v:stroke startarrow="block" endarrow="block" joinstyle="miter"/>
              </v:shape>
            </w:pict>
          </mc:Fallback>
        </mc:AlternateContent>
      </w:r>
      <w:r>
        <w:rPr>
          <w:noProof/>
          <w14:ligatures w14:val="none"/>
          <w14:numForm w14:val="default"/>
          <w14:numSpacing w14:val="default"/>
        </w:rPr>
        <mc:AlternateContent>
          <mc:Choice Requires="wps">
            <w:drawing>
              <wp:anchor distT="0" distB="0" distL="114300" distR="114300" simplePos="0" relativeHeight="251670528" behindDoc="0" locked="0" layoutInCell="1" allowOverlap="1" wp14:anchorId="027ABF72" wp14:editId="3FFB656A">
                <wp:simplePos x="0" y="0"/>
                <wp:positionH relativeFrom="column">
                  <wp:posOffset>3550633</wp:posOffset>
                </wp:positionH>
                <wp:positionV relativeFrom="paragraph">
                  <wp:posOffset>1199024</wp:posOffset>
                </wp:positionV>
                <wp:extent cx="224286" cy="189782"/>
                <wp:effectExtent l="0" t="0" r="23495" b="20320"/>
                <wp:wrapNone/>
                <wp:docPr id="19" name="Oval 19"/>
                <wp:cNvGraphicFramePr/>
                <a:graphic xmlns:a="http://schemas.openxmlformats.org/drawingml/2006/main">
                  <a:graphicData uri="http://schemas.microsoft.com/office/word/2010/wordprocessingShape">
                    <wps:wsp>
                      <wps:cNvSpPr/>
                      <wps:spPr>
                        <a:xfrm>
                          <a:off x="0" y="0"/>
                          <a:ext cx="224286" cy="18978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80771" id="Oval 19" o:spid="_x0000_s1026" style="position:absolute;margin-left:279.6pt;margin-top:94.4pt;width:17.65pt;height:1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6HZgQIAAF0FAAAOAAAAZHJzL2Uyb0RvYy54bWysVF9v2jAQf5+072D5fYREjELUUKFWTJOq&#10;tlo79dk4NlhzfJ5tCOzT7+yElK08TcuDc+f7+zvf3fXNodFkL5xXYCqaj8aUCMOhVmZT0e8vq08z&#10;SnxgpmYajKjoUXh6s/j44bq1pShgC7oWjqAT48vWVnQbgi2zzPOtaJgfgRUGhRJcwwKybpPVjrXo&#10;vdFZMR5PsxZcbR1w4T3e3nVCukj+pRQ8PErpRSC6ophbSKdL5zqe2eKalRvH7FbxPg32D1k0TBkM&#10;Ori6Y4GRnVPvXDWKO/Agw4hDk4GUiouEAdHk47/QPG+ZFQkLFsfboUz+/7nlD/snR1SNbzenxLAG&#10;3+hxzzRBFmvTWl+iyrN9cj3nkYxAD9I18Y8QyCHV8zjUUxwC4XhZFJNiNqWEoyifza9mRfSZvRlb&#10;58MXAQ2JREWF1sr6iJiVbH/vQ6d90orXBlZKa7xnpTbx9KBVHe8S4zbrW+0IAqjoajXGr494pobx&#10;o2kWsXVoEhWOWnRuvwmJFYn5p0xSL4rBLeNcmDDt/WqD2tFMYgqDYX7JUIe8N+p1o5lIPToYji8Z&#10;/hlxsEhRwYTBuFEG3CUH9Y8hcqd/Qt9hjvDXUB+xERx0E+ItXyl8k3vmwxNzOBI4PDjm4REPqaGt&#10;KPQUJVtwvy7dR33sVJRS0uKIVdT/3DEnKNFfDfbwPJ9M4kwmZvL5qkDGnUvW5xKza24BnzXHhWJ5&#10;IqN+0CdSOmhecRssY1QUMcMxdkV5cCfmNnSjj/uEi+UyqeEcWhbuzbPl0Xmsamy4l8Mrc7ZvzIAd&#10;/QCncXzXnJ1utDSw3AWQKnXuW137euMMp/bv901cEud80nrbiovfAAAA//8DAFBLAwQUAAYACAAA&#10;ACEAXV7Bb94AAAALAQAADwAAAGRycy9kb3ducmV2LnhtbEyPwU7DMBBE70j8g7VIXBB1GpHghDhV&#10;hdQDxxYkrtvYJBH2OordNv17lhMcV/M0+6bZLN6Js53jGEjDepWBsNQFM1Kv4eN996hAxIRk0AWy&#10;Gq42wqa9vWmwNuFCe3s+pF5wCcUaNQwpTbWUsRusx7gKkyXOvsLsMfE599LMeOFy72SeZaX0OBJ/&#10;GHCyr4Ptvg8nr2F7lcntY7V7MCWVZfqMb+iU1vd3y/YFRLJL+oPhV5/VoWWnYziRicJpKIoqZ5QD&#10;pXgDE0X1VIA4asjX6hlk28j/G9ofAAAA//8DAFBLAQItABQABgAIAAAAIQC2gziS/gAAAOEBAAAT&#10;AAAAAAAAAAAAAAAAAAAAAABbQ29udGVudF9UeXBlc10ueG1sUEsBAi0AFAAGAAgAAAAhADj9If/W&#10;AAAAlAEAAAsAAAAAAAAAAAAAAAAALwEAAF9yZWxzLy5yZWxzUEsBAi0AFAAGAAgAAAAhALybodmB&#10;AgAAXQUAAA4AAAAAAAAAAAAAAAAALgIAAGRycy9lMm9Eb2MueG1sUEsBAi0AFAAGAAgAAAAhAF1e&#10;wW/eAAAACwEAAA8AAAAAAAAAAAAAAAAA2wQAAGRycy9kb3ducmV2LnhtbFBLBQYAAAAABAAEAPMA&#10;AADmBQAAAAA=&#10;" filled="f" strokecolor="red" strokeweight="1pt">
                <v:stroke joinstyle="miter"/>
              </v:oval>
            </w:pict>
          </mc:Fallback>
        </mc:AlternateContent>
      </w:r>
      <w:r>
        <w:rPr>
          <w:noProof/>
          <w14:ligatures w14:val="none"/>
          <w14:numForm w14:val="default"/>
          <w14:numSpacing w14:val="default"/>
        </w:rPr>
        <mc:AlternateContent>
          <mc:Choice Requires="wps">
            <w:drawing>
              <wp:anchor distT="0" distB="0" distL="114300" distR="114300" simplePos="0" relativeHeight="251667456" behindDoc="0" locked="0" layoutInCell="1" allowOverlap="1" wp14:anchorId="188E55F4" wp14:editId="5218C759">
                <wp:simplePos x="0" y="0"/>
                <wp:positionH relativeFrom="column">
                  <wp:posOffset>3471413</wp:posOffset>
                </wp:positionH>
                <wp:positionV relativeFrom="paragraph">
                  <wp:posOffset>1664899</wp:posOffset>
                </wp:positionV>
                <wp:extent cx="48164" cy="1656116"/>
                <wp:effectExtent l="76200" t="38100" r="66675" b="58420"/>
                <wp:wrapNone/>
                <wp:docPr id="17" name="Straight Arrow Connector 17"/>
                <wp:cNvGraphicFramePr/>
                <a:graphic xmlns:a="http://schemas.openxmlformats.org/drawingml/2006/main">
                  <a:graphicData uri="http://schemas.microsoft.com/office/word/2010/wordprocessingShape">
                    <wps:wsp>
                      <wps:cNvCnPr/>
                      <wps:spPr>
                        <a:xfrm flipH="1">
                          <a:off x="0" y="0"/>
                          <a:ext cx="48164" cy="165611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BC82F" id="Straight Arrow Connector 17" o:spid="_x0000_s1026" type="#_x0000_t32" style="position:absolute;margin-left:273.35pt;margin-top:131.1pt;width:3.8pt;height:130.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E4Q6AEAACwEAAAOAAAAZHJzL2Uyb0RvYy54bWysU9uO0zAQfUfiHyy/0ySrJayqpivU5fKA&#10;oGLhA7zOuLHkm8amaf+esZMGBCukXfEy8mXO8Zwz483tyRp2BIzau443q5ozcNL32h06/v3b+1c3&#10;nMUkXC+Md9DxM0R+u335YjOGNVz5wZsekBGJi+sxdHxIKayrKsoBrIgrH8DRpfJoRaItHqoexUjs&#10;1lRXdd1Wo8c+oJcQI53eTZd8W/iVApm+KBUhMdNxqi2ViCU+5FhtN2J9QBEGLecyxDOqsEI7enSh&#10;uhNJsB+o/6KyWqKPXqWV9LbySmkJRQOpaeo/1NwPIkDRQubEsNgU/x+t/HzcI9M99e4NZ05Y6tF9&#10;QqEPQ2JvEf3Idt458tEjoxTyawxxTbCd2+O8i2GPWfxJoWXK6PCR6IodJJCditvnxW04JSbp8Pqm&#10;aa85k3TTtK/bpmkzezXRZLqAMX0Ab1ledDzOZS31TE+I46eYJuAFkMHG5TiA6N+5nqVzIGEJtXAH&#10;A1PXk9Dm8TuqIcOrrHTSVlbpbGCi/gqKPCMNUwllWmFnkB0FzZmQElxqZjXGUXaGKW3MAqyLPf8E&#10;zvkZCmWSnwJeEOVl79ICttp5fOz1dLqUrKb8iwOT7mzBg+/PpevFGhrJ0q/5++SZ/31f4L8++fYn&#10;AAAA//8DAFBLAwQUAAYACAAAACEA+EbKCt0AAAALAQAADwAAAGRycy9kb3ducmV2LnhtbEyPy07D&#10;MBBF90j8gzVI7KiN26QojVMhJJYsCPmAaTwkKX5EsfPg7zEr2M1oju6cW543a9hCUxi8U/C4E8DI&#10;tV4PrlPQfLw+PAELEZ1G4x0p+KYA5+r2psRC+9W901LHjqUQFwpU0Mc4FpyHtieLYedHcun26SeL&#10;Ma1Tx/WEawq3hkshcm5xcOlDjyO99NR+1bNVELoW51UYH+b62FzflsZqK5S6v9ueT8AibfEPhl/9&#10;pA5Vcrr42enAjILskB8TqkDmUgJLRJYd9sAuaZB7Abwq+f8O1Q8AAAD//wMAUEsBAi0AFAAGAAgA&#10;AAAhALaDOJL+AAAA4QEAABMAAAAAAAAAAAAAAAAAAAAAAFtDb250ZW50X1R5cGVzXS54bWxQSwEC&#10;LQAUAAYACAAAACEAOP0h/9YAAACUAQAACwAAAAAAAAAAAAAAAAAvAQAAX3JlbHMvLnJlbHNQSwEC&#10;LQAUAAYACAAAACEA+nBOEOgBAAAsBAAADgAAAAAAAAAAAAAAAAAuAgAAZHJzL2Uyb0RvYy54bWxQ&#10;SwECLQAUAAYACAAAACEA+EbKCt0AAAALAQAADwAAAAAAAAAAAAAAAABCBAAAZHJzL2Rvd25yZXYu&#10;eG1sUEsFBgAAAAAEAAQA8wAAAEwFAAAAAA==&#10;" strokecolor="#4472c4 [3204]" strokeweight=".5pt">
                <v:stroke startarrow="block" endarrow="block" joinstyle="miter"/>
              </v:shape>
            </w:pict>
          </mc:Fallback>
        </mc:AlternateContent>
      </w:r>
      <w:r>
        <w:rPr>
          <w:noProof/>
          <w14:ligatures w14:val="none"/>
          <w14:numForm w14:val="default"/>
          <w14:numSpacing w14:val="default"/>
        </w:rPr>
        <mc:AlternateContent>
          <mc:Choice Requires="wps">
            <w:drawing>
              <wp:anchor distT="0" distB="0" distL="114300" distR="114300" simplePos="0" relativeHeight="251665408" behindDoc="0" locked="0" layoutInCell="1" allowOverlap="1" wp14:anchorId="0630A2DA" wp14:editId="1828BA91">
                <wp:simplePos x="0" y="0"/>
                <wp:positionH relativeFrom="column">
                  <wp:posOffset>3295291</wp:posOffset>
                </wp:positionH>
                <wp:positionV relativeFrom="paragraph">
                  <wp:posOffset>1401074</wp:posOffset>
                </wp:positionV>
                <wp:extent cx="327348" cy="513990"/>
                <wp:effectExtent l="0" t="38100" r="53975" b="19685"/>
                <wp:wrapNone/>
                <wp:docPr id="14" name="Straight Arrow Connector 14"/>
                <wp:cNvGraphicFramePr/>
                <a:graphic xmlns:a="http://schemas.openxmlformats.org/drawingml/2006/main">
                  <a:graphicData uri="http://schemas.microsoft.com/office/word/2010/wordprocessingShape">
                    <wps:wsp>
                      <wps:cNvCnPr/>
                      <wps:spPr>
                        <a:xfrm flipV="1">
                          <a:off x="0" y="0"/>
                          <a:ext cx="327348" cy="51399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A0B5F" id="Straight Arrow Connector 14" o:spid="_x0000_s1026" type="#_x0000_t32" style="position:absolute;margin-left:259.45pt;margin-top:110.3pt;width:25.8pt;height:40.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r5QEAABAEAAAOAAAAZHJzL2Uyb0RvYy54bWysU02P0zAQvSPxHyzfadJ0+diq6Qp1gQuC&#10;ahe4e51xY8lfGpsm/feMnWxAgEBCXKzYnvfmvefJ7ma0hp0Bo/au5etVzRk46TvtTi3//Onts1ec&#10;xSRcJ4x30PILRH6zf/pkN4QtNL73pgNkROLidggt71MK26qKsgcr4soHcHSpPFqRaIunqkMxELs1&#10;VVPXL6rBYxfQS4iRTm+nS74v/EqBTB+VipCYaTlpS2XFsj7ktdrvxPaEIvRazjLEP6iwQjtqulDd&#10;iiTYV9S/UFkt0Uev0kp6W3mltITigdys65/c3PciQPFC4cSwxBT/H638cD4i0x293RVnTlh6o/uE&#10;Qp/6xF4j+oEdvHOUo0dGJZTXEOKWYAd3xHkXwxGz+VGhZcro8IXoShxkkI0l7cuSNoyJSTrcNC83&#10;VzQekq6erzfX1+U1qokm0wWM6R14y/JHy+Msa9EztRDn9zGREAI+AjLYuLwmoc0b17F0CWQsoRbu&#10;ZCC7oPJcUmU3k/7ylS4GJvgdKMqFdDbFSZlIOBhkZ0GzJKQEl5qFiaozTGljFmD9d+Bcn6FQpnUB&#10;T+b+2HVBlM7epQVstfP4u+5pXM+S1VT/mMDkO0fw4LtLedkSDY1dyWr+RfJc/7gv8O8/8v4bAAAA&#10;//8DAFBLAwQUAAYACAAAACEAtwtkPOAAAAALAQAADwAAAGRycy9kb3ducmV2LnhtbEyPQU+EMBCF&#10;7yb+h2ZMvLktKCwiw0aNxt2Liax6nqVdINKW0MLiv7ee9Dh5X977ptgsumezGl1nDUK0EsCUqa3s&#10;TIPwvn++yoA5T0ZSb41C+FYONuX5WUG5tCfzpubKNyyUGJcTQuv9kHPu6lZpcis7KBOyox01+XCO&#10;DZcjnUK57nksRMo1dSYstDSox1bVX9WkER6eqP0c0u2L3b1+6Opm5+bjlCFeXiz3d8C8WvwfDL/6&#10;QR3K4HSwk5GO9QhJlN0GFCGORQosEMlaJMAOCNciSoCXBf//Q/kDAAD//wMAUEsBAi0AFAAGAAgA&#10;AAAhALaDOJL+AAAA4QEAABMAAAAAAAAAAAAAAAAAAAAAAFtDb250ZW50X1R5cGVzXS54bWxQSwEC&#10;LQAUAAYACAAAACEAOP0h/9YAAACUAQAACwAAAAAAAAAAAAAAAAAvAQAAX3JlbHMvLnJlbHNQSwEC&#10;LQAUAAYACAAAACEAD/4Iq+UBAAAQBAAADgAAAAAAAAAAAAAAAAAuAgAAZHJzL2Uyb0RvYy54bWxQ&#10;SwECLQAUAAYACAAAACEAtwtkPOAAAAALAQAADwAAAAAAAAAAAAAAAAA/BAAAZHJzL2Rvd25yZXYu&#10;eG1sUEsFBgAAAAAEAAQA8wAAAEwFAAAAAA==&#10;" strokecolor="#ed7d31 [3205]" strokeweight="1pt">
                <v:stroke endarrow="block" joinstyle="miter"/>
              </v:shape>
            </w:pict>
          </mc:Fallback>
        </mc:AlternateContent>
      </w:r>
      <w:r>
        <w:rPr>
          <w:noProof/>
          <w14:ligatures w14:val="none"/>
          <w14:numForm w14:val="default"/>
          <w14:numSpacing w14:val="default"/>
        </w:rPr>
        <mc:AlternateContent>
          <mc:Choice Requires="wps">
            <w:drawing>
              <wp:anchor distT="0" distB="0" distL="114300" distR="114300" simplePos="0" relativeHeight="251666432" behindDoc="0" locked="0" layoutInCell="1" allowOverlap="1" wp14:anchorId="52EC1E45" wp14:editId="133BCE83">
                <wp:simplePos x="0" y="0"/>
                <wp:positionH relativeFrom="column">
                  <wp:posOffset>1551317</wp:posOffset>
                </wp:positionH>
                <wp:positionV relativeFrom="paragraph">
                  <wp:posOffset>1284784</wp:posOffset>
                </wp:positionV>
                <wp:extent cx="45719" cy="2061821"/>
                <wp:effectExtent l="76200" t="38100" r="69215" b="53340"/>
                <wp:wrapNone/>
                <wp:docPr id="15" name="Straight Arrow Connector 15"/>
                <wp:cNvGraphicFramePr/>
                <a:graphic xmlns:a="http://schemas.openxmlformats.org/drawingml/2006/main">
                  <a:graphicData uri="http://schemas.microsoft.com/office/word/2010/wordprocessingShape">
                    <wps:wsp>
                      <wps:cNvCnPr/>
                      <wps:spPr>
                        <a:xfrm flipV="1">
                          <a:off x="0" y="0"/>
                          <a:ext cx="45719" cy="206182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DBFE2" id="Straight Arrow Connector 15" o:spid="_x0000_s1026" type="#_x0000_t32" style="position:absolute;margin-left:122.15pt;margin-top:101.15pt;width:3.6pt;height:162.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365gEAACwEAAAOAAAAZHJzL2Uyb0RvYy54bWysU02P0zAQvSPxHyzfadKKXZao6Qp1gQuC&#10;ahe4e51xYslfGpum/feMnTQgWCGBuIz8Me953pvx9vZkDTsCRu1dy9ermjNw0nfa9S3/8vndixvO&#10;YhKuE8Y7aPkZIr/dPX+2HUMDGz940wEyInGxGUPLh5RCU1VRDmBFXPkAji6VRysSbbGvOhQjsVtT&#10;ber6uho9dgG9hBjp9G665LvCrxTI9EmpCImZllNtqUQs8THHarcVTY8iDFrOZYh/qMIK7ejRhepO&#10;JMG+of6NymqJPnqVVtLbyiulJRQNpGZd/6LmYRABihYyJ4bFpvj/aOXH4wGZ7qh3V5w5YalHDwmF&#10;7ofE3iD6ke29c+SjR0Yp5NcYYkOwvTvgvIvhgFn8SaFlyujwleiKHSSQnYrb58VtOCUm6fDl1av1&#10;a84k3Wzq6/XNZp3Zq4km0wWM6T14y/Ki5XEua6lnekIcP8Q0AS+ADDYuxwFE99Z1LJ0DCUuohesN&#10;TF1PQpun76iGDK+y0klbWaWzgYn6HhR5RhqmEsq0wt4gOwqaMyEluHRRYxxlZ5jSxizAutjzR+Cc&#10;n6FQJvlvwAuivOxdWsBWO49PvZ5Ol5LVlH9xYNKdLXj03bl0vVhDI1n6NX+fPPM/7wv8xyfffQcA&#10;AP//AwBQSwMEFAAGAAgAAAAhALkVPU3bAAAACwEAAA8AAABkcnMvZG93bnJldi54bWxMj8tOxDAM&#10;RfdI/ENkJHZMMmU6g0rTEUJiyYLSD/A0oS0kTtWkD/4es4LdtXx0fVyeN+/EYqc4BNKw3ykQltpg&#10;Buo0NO8vdw8gYkIy6AJZDd82wrm6viqxMGGlN7vUqRNcQrFADX1KYyFlbHvrMe7CaIl3H2HymHic&#10;OmkmXLncO5kpdZQeB+ILPY72ubftVz17DbFrcV6VC3GuT83n69J445XWtzfb0yOIZLf0B8OvPqtD&#10;xU6XMJOJwmnIDod7RjmojAMTWb7PQVw05NlJgaxK+f+H6gcAAP//AwBQSwECLQAUAAYACAAAACEA&#10;toM4kv4AAADhAQAAEwAAAAAAAAAAAAAAAAAAAAAAW0NvbnRlbnRfVHlwZXNdLnhtbFBLAQItABQA&#10;BgAIAAAAIQA4/SH/1gAAAJQBAAALAAAAAAAAAAAAAAAAAC8BAABfcmVscy8ucmVsc1BLAQItABQA&#10;BgAIAAAAIQAK4E365gEAACwEAAAOAAAAAAAAAAAAAAAAAC4CAABkcnMvZTJvRG9jLnhtbFBLAQIt&#10;ABQABgAIAAAAIQC5FT1N2wAAAAsBAAAPAAAAAAAAAAAAAAAAAEAEAABkcnMvZG93bnJldi54bWxQ&#10;SwUGAAAAAAQABADzAAAASAUAAAAA&#10;" strokecolor="#4472c4 [3204]" strokeweight=".5pt">
                <v:stroke startarrow="block" endarrow="block" joinstyle="miter"/>
              </v:shape>
            </w:pict>
          </mc:Fallback>
        </mc:AlternateContent>
      </w:r>
      <w:r>
        <w:rPr>
          <w:noProof/>
          <w14:ligatures w14:val="none"/>
          <w14:numForm w14:val="default"/>
          <w14:numSpacing w14:val="default"/>
        </w:rPr>
        <mc:AlternateContent>
          <mc:Choice Requires="wps">
            <w:drawing>
              <wp:anchor distT="0" distB="0" distL="114300" distR="114300" simplePos="0" relativeHeight="251662336" behindDoc="0" locked="0" layoutInCell="1" allowOverlap="1" wp14:anchorId="4A6153BF" wp14:editId="5F38CF5C">
                <wp:simplePos x="0" y="0"/>
                <wp:positionH relativeFrom="column">
                  <wp:posOffset>828136</wp:posOffset>
                </wp:positionH>
                <wp:positionV relativeFrom="paragraph">
                  <wp:posOffset>1362973</wp:posOffset>
                </wp:positionV>
                <wp:extent cx="50321" cy="2056489"/>
                <wp:effectExtent l="76200" t="38100" r="64135" b="58420"/>
                <wp:wrapNone/>
                <wp:docPr id="11" name="Straight Arrow Connector 11"/>
                <wp:cNvGraphicFramePr/>
                <a:graphic xmlns:a="http://schemas.openxmlformats.org/drawingml/2006/main">
                  <a:graphicData uri="http://schemas.microsoft.com/office/word/2010/wordprocessingShape">
                    <wps:wsp>
                      <wps:cNvCnPr/>
                      <wps:spPr>
                        <a:xfrm flipH="1" flipV="1">
                          <a:off x="0" y="0"/>
                          <a:ext cx="50321" cy="205648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149B2" id="Straight Arrow Connector 11" o:spid="_x0000_s1026" type="#_x0000_t32" style="position:absolute;margin-left:65.2pt;margin-top:107.3pt;width:3.95pt;height:161.9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3W6wEAADYEAAAOAAAAZHJzL2Uyb0RvYy54bWysU02P0zAQvSPxHyzfadLCrpao6Qp1+Tgg&#10;qFjg7nXGjSV/aWya9N8zdtKAYIUE4mLZmXlv5r2ZbG9Ha9gJMGrvWr5e1ZyBk77T7tjyL5/fPLvh&#10;LCbhOmG8g5afIfLb3dMn2yE0sPG9Nx0gIxIXmyG0vE8pNFUVZQ9WxJUP4CioPFqR6InHqkMxELs1&#10;1aaur6vBYxfQS4iRvt5NQb4r/EqBTB+VipCYaTn1lsqJ5XzIZ7XbiuaIIvRazm2If+jCCu2o6EJ1&#10;J5Jg31D/RmW1RB+9SivpbeWV0hKKBlKzrn9Rc9+LAEULmRPDYlP8f7Tyw+mATHc0uzVnTlia0X1C&#10;oY99Yq8Q/cD23jny0SOjFPJrCLEh2N4dcH7FcMAsflRomTI6vCM6Xm5f8y3HSCobi+/nxXcYE5P0&#10;8ap+vqF8SZFNfXX94uZlrlNNhBkcMKa34C3Ll5bHucGls6mEOL2PaQJeABlsXD57EN1r17F0DiQx&#10;oRbuaGCafxLaPB6jHjK8yponleWWzgYm6k+gyD3SMLVQ9hb2BtlJ0MYJKcGl4lphouwMU9qYBVgX&#10;e/4InPMzFMpO/w14QZTK3qUFbLXz+Fj1NF5aVlP+xYFJd7bgwXfnMv9iDS1nmdf8I+Xt//ld4D9+&#10;9913AAAA//8DAFBLAwQUAAYACAAAACEA8LNY5OEAAAALAQAADwAAAGRycy9kb3ducmV2LnhtbEyP&#10;wU7DMBBE70j8g7VI3KjTpqmiNE6FChwqhCpKJa5OvE0i4rWx3TT8Pe4JjqN9mnlbbiY9sBGd7w0J&#10;mM8SYEiNUT21Ao4fLw85MB8kKTkYQgE/6GFT3d6UslDmQu84HkLLYgn5QgroQrAF577pUEs/MxYp&#10;3k7GaRlidC1XTl5iuR74IklWXMue4kInLW47bL4OZy2AN1trss+jff4ed/vdG69f6ycnxP3d9LgG&#10;FnAKfzBc9aM6VNGpNmdSng0xp8kyogIW8+UK2JVI8xRYLSBL8wx4VfL/P1S/AAAA//8DAFBLAQIt&#10;ABQABgAIAAAAIQC2gziS/gAAAOEBAAATAAAAAAAAAAAAAAAAAAAAAABbQ29udGVudF9UeXBlc10u&#10;eG1sUEsBAi0AFAAGAAgAAAAhADj9If/WAAAAlAEAAAsAAAAAAAAAAAAAAAAALwEAAF9yZWxzLy5y&#10;ZWxzUEsBAi0AFAAGAAgAAAAhAFS9XdbrAQAANgQAAA4AAAAAAAAAAAAAAAAALgIAAGRycy9lMm9E&#10;b2MueG1sUEsBAi0AFAAGAAgAAAAhAPCzWOThAAAACwEAAA8AAAAAAAAAAAAAAAAARQQAAGRycy9k&#10;b3ducmV2LnhtbFBLBQYAAAAABAAEAPMAAABTBQAAAAA=&#10;" strokecolor="#4472c4 [3204]" strokeweight=".5pt">
                <v:stroke startarrow="block" endarrow="block" joinstyle="miter"/>
              </v:shape>
            </w:pict>
          </mc:Fallback>
        </mc:AlternateContent>
      </w:r>
      <w:r>
        <w:rPr>
          <w:noProof/>
          <w14:ligatures w14:val="none"/>
          <w14:numForm w14:val="default"/>
          <w14:numSpacing w14:val="default"/>
        </w:rPr>
        <mc:AlternateContent>
          <mc:Choice Requires="wps">
            <w:drawing>
              <wp:anchor distT="0" distB="0" distL="114300" distR="114300" simplePos="0" relativeHeight="251668480" behindDoc="0" locked="0" layoutInCell="1" allowOverlap="1" wp14:anchorId="39C3E739" wp14:editId="5D7B514C">
                <wp:simplePos x="0" y="0"/>
                <wp:positionH relativeFrom="column">
                  <wp:posOffset>715693</wp:posOffset>
                </wp:positionH>
                <wp:positionV relativeFrom="paragraph">
                  <wp:posOffset>1095159</wp:posOffset>
                </wp:positionV>
                <wp:extent cx="224286" cy="189782"/>
                <wp:effectExtent l="0" t="0" r="23495" b="20320"/>
                <wp:wrapNone/>
                <wp:docPr id="18" name="Oval 18"/>
                <wp:cNvGraphicFramePr/>
                <a:graphic xmlns:a="http://schemas.openxmlformats.org/drawingml/2006/main">
                  <a:graphicData uri="http://schemas.microsoft.com/office/word/2010/wordprocessingShape">
                    <wps:wsp>
                      <wps:cNvSpPr/>
                      <wps:spPr>
                        <a:xfrm>
                          <a:off x="0" y="0"/>
                          <a:ext cx="224286" cy="18978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8649D6" id="Oval 18" o:spid="_x0000_s1026" style="position:absolute;margin-left:56.35pt;margin-top:86.25pt;width:17.65pt;height:1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2ugQIAAF0FAAAOAAAAZHJzL2Uyb0RvYy54bWysVF9v2jAQf5+072D5fYRErKVRQ4WomCZV&#10;bTU69dk4NlhzfJ5tCOzT7+yElK08TcuDc+f7+zvf3e3dodFkL5xXYCqaj8aUCMOhVmZT0e8vy09T&#10;SnxgpmYajKjoUXh6N/v44ba1pShgC7oWjqAT48vWVnQbgi2zzPOtaJgfgRUGhRJcwwKybpPVjrXo&#10;vdFZMR5fZS242jrgwnu8ve+EdJb8Syl4eJLSi0B0RTG3kE6XznU8s9ktKzeO2a3ifRrsH7JomDIY&#10;dHB1zwIjO6feuWoUd+BBhhGHJgMpFRcJA6LJx3+hWW2ZFQkLFsfboUz+/7nlj/tnR1SNb4cvZViD&#10;b/S0Z5ogi7VprS9RZWWfXc95JCPQg3RN/CMEckj1PA71FIdAOF4WxaSYXlHCUZRPb66nRfSZvRlb&#10;58MXAQ2JREWF1sr6iJiVbP/gQ6d90orXBpZKa7xnpTbx9KBVHe8S4zbrhXYEAVR0uRzj10c8U8P4&#10;0TSL2Do0iQpHLTq334TEisT8UyapF8XglnEuTLjq/WqD2tFMYgqDYX7JUIe8N+p1o5lIPToYji8Z&#10;/hlxsEhRwYTBuFEG3CUH9Y8hcqd/Qt9hjvDXUB+xERx0E+ItXyp8kwfmwzNzOBI4PDjm4QkPqaGt&#10;KPQUJVtwvy7dR33sVJRS0uKIVdT/3DEnKNFfDfbwTT6ZxJlMzOTzdYGMO5eszyVm1ywAnzXHhWJ5&#10;IqN+0CdSOmhecRvMY1QUMcMxdkV5cCdmEbrRx33CxXye1HAOLQsPZmV5dB6rGhvu5fDKnO0bM2BH&#10;P8JpHN81Z6cbLQ3MdwGkSp37Vte+3jjDqf37fROXxDmftN624uw3AAAA//8DAFBLAwQUAAYACAAA&#10;ACEAH7OY4d0AAAALAQAADwAAAGRycy9kb3ducmV2LnhtbEyPPW/CMBCG90r9D9ZV6lIVB4uGNMRB&#10;qBJDR6BSVxMfSVT7HMUGwr/vMbXbvbpH70e1nrwTFxxjH0jDfJaBQGqC7anV8HXYvhYgYjJkjQuE&#10;Gm4YYV0/PlSmtOFKO7zsUyvYhGJpNHQpDaWUsenQmzgLAxL/TmH0JrEcW2lHc2Vz76TKslx60xMn&#10;dGbAjw6bn/3Za9jcZHK7+L59sTnlefqOn8YVWj8/TZsViIRT+oPhXp+rQ82djuFMNgrHeq6WjPKx&#10;VG8g7sSi4HVHDSpTC5B1Jf9vqH8BAAD//wMAUEsBAi0AFAAGAAgAAAAhALaDOJL+AAAA4QEAABMA&#10;AAAAAAAAAAAAAAAAAAAAAFtDb250ZW50X1R5cGVzXS54bWxQSwECLQAUAAYACAAAACEAOP0h/9YA&#10;AACUAQAACwAAAAAAAAAAAAAAAAAvAQAAX3JlbHMvLnJlbHNQSwECLQAUAAYACAAAACEAUaH9roEC&#10;AABdBQAADgAAAAAAAAAAAAAAAAAuAgAAZHJzL2Uyb0RvYy54bWxQSwECLQAUAAYACAAAACEAH7OY&#10;4d0AAAALAQAADwAAAAAAAAAAAAAAAADbBAAAZHJzL2Rvd25yZXYueG1sUEsFBgAAAAAEAAQA8wAA&#10;AOUFAAAAAA==&#10;" filled="f" strokecolor="red" strokeweight="1pt">
                <v:stroke joinstyle="miter"/>
              </v:oval>
            </w:pict>
          </mc:Fallback>
        </mc:AlternateContent>
      </w:r>
      <w:r>
        <w:rPr>
          <w:noProof/>
          <w14:ligatures w14:val="none"/>
          <w14:numForm w14:val="default"/>
          <w14:numSpacing w14:val="default"/>
        </w:rPr>
        <w:drawing>
          <wp:anchor distT="0" distB="0" distL="114300" distR="114300" simplePos="0" relativeHeight="251661312" behindDoc="0" locked="0" layoutInCell="1" allowOverlap="1" wp14:anchorId="590E8425" wp14:editId="7B90B552">
            <wp:simplePos x="0" y="0"/>
            <wp:positionH relativeFrom="margin">
              <wp:align>left</wp:align>
            </wp:positionH>
            <wp:positionV relativeFrom="paragraph">
              <wp:posOffset>502285</wp:posOffset>
            </wp:positionV>
            <wp:extent cx="5223510" cy="1875155"/>
            <wp:effectExtent l="133350" t="114300" r="148590" b="163195"/>
            <wp:wrapSquare wrapText="bothSides"/>
            <wp:docPr id="10" name="Picture 1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6170" cy="18800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51ED1">
        <w:rPr>
          <w:noProof/>
          <w14:ligatures w14:val="none"/>
          <w14:numForm w14:val="default"/>
          <w14:numSpacing w14:val="default"/>
        </w:rPr>
        <mc:AlternateContent>
          <mc:Choice Requires="wps">
            <w:drawing>
              <wp:anchor distT="0" distB="0" distL="114300" distR="114300" simplePos="0" relativeHeight="251664384" behindDoc="0" locked="0" layoutInCell="1" allowOverlap="1" wp14:anchorId="57272D64" wp14:editId="1A5A127D">
                <wp:simplePos x="0" y="0"/>
                <wp:positionH relativeFrom="column">
                  <wp:posOffset>1518249</wp:posOffset>
                </wp:positionH>
                <wp:positionV relativeFrom="paragraph">
                  <wp:posOffset>1121434</wp:posOffset>
                </wp:positionV>
                <wp:extent cx="276045" cy="474453"/>
                <wp:effectExtent l="0" t="0" r="67310" b="59055"/>
                <wp:wrapNone/>
                <wp:docPr id="13" name="Straight Arrow Connector 13"/>
                <wp:cNvGraphicFramePr/>
                <a:graphic xmlns:a="http://schemas.openxmlformats.org/drawingml/2006/main">
                  <a:graphicData uri="http://schemas.microsoft.com/office/word/2010/wordprocessingShape">
                    <wps:wsp>
                      <wps:cNvCnPr/>
                      <wps:spPr>
                        <a:xfrm>
                          <a:off x="0" y="0"/>
                          <a:ext cx="276045" cy="47445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78B2831" id="Straight Arrow Connector 13" o:spid="_x0000_s1026" type="#_x0000_t32" style="position:absolute;margin-left:119.55pt;margin-top:88.3pt;width:21.75pt;height:37.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533gEAAAYEAAAOAAAAZHJzL2Uyb0RvYy54bWysU9uO0zAQfUfiHyy/06Slu4uipivUBV4Q&#10;VLvwAV7Hbiz5pvHQpH/P2MlmESCQEC+T2J4zc87xeHc7OsvOCpIJvuXrVc2Z8jJ0xp9a/vXL+1dv&#10;OEsofCds8KrlF5X47f7li90QG7UJfbCdAkZFfGqG2PIeMTZVlWSvnEirEJWnQx3ACaQlnKoOxEDV&#10;na02dX1dDQG6CEGqlGj3bjrk+1JfayXxs9ZJIbMtJ25YIpT4mGO134nmBCL2Rs40xD+wcMJ4arqU&#10;uhMo2Dcwv5RyRkJIQeNKBlcFrY1URQOpWdc/qXnoRVRFC5mT4mJT+n9l5afzEZjp6O5ec+aFozt6&#10;QBDm1CN7CxAGdgjek48BGKWQX0NMDcEO/gjzKsUjZPGjBpe/JIuNxePL4rEakUna3Nxc19srziQd&#10;bW+226tSs3oGR0j4QQXH8k/L00xmYbEuPovzx4TUnoBPgNzZ+hxRGPvOdwwvkeQgGOFPVmXulJ5T&#10;qqxhYl3+8GLVBL9XmtzIPEubMofqYIGdBU2QkFJ53CyVKDvDtLF2AdZ/B875GarKjC7gSdwfuy6I&#10;0jl4XMDO+AC/647jeqasp/wnBybd2YLH0F3KfRZraNiKV/PDyNP847rAn5/v/jsAAAD//wMAUEsD&#10;BBQABgAIAAAAIQAJBOfm3QAAAAsBAAAPAAAAZHJzL2Rvd25yZXYueG1sTI/BTsMwEETvSPyDtUjc&#10;qJNUhBLiVCgSJy407QfYsYkD9jrEbhP+nuUEt1nN0+xMvV+9YxczxzGggHyTATPYBz3iIOB0fLnb&#10;AYtJopYuoBHwbSLsm+urWlY6LHgwly4NjEIwVlKATWmqOI+9NV7GTZgMkvceZi8TnfPA9SwXCveO&#10;F1lWci9HpA9WTqa1pv/szl7AbF3/hd3H26Fd2tdw0mpMSglxe7M+PwFLZk1/MPzWp+rQUCcVzqgj&#10;cwKK7WNOKBkPZQmMiGJXkFAk7vMt8Kbm/zc0PwAAAP//AwBQSwECLQAUAAYACAAAACEAtoM4kv4A&#10;AADhAQAAEwAAAAAAAAAAAAAAAAAAAAAAW0NvbnRlbnRfVHlwZXNdLnhtbFBLAQItABQABgAIAAAA&#10;IQA4/SH/1gAAAJQBAAALAAAAAAAAAAAAAAAAAC8BAABfcmVscy8ucmVsc1BLAQItABQABgAIAAAA&#10;IQDmOL533gEAAAYEAAAOAAAAAAAAAAAAAAAAAC4CAABkcnMvZTJvRG9jLnhtbFBLAQItABQABgAI&#10;AAAAIQAJBOfm3QAAAAsBAAAPAAAAAAAAAAAAAAAAADgEAABkcnMvZG93bnJldi54bWxQSwUGAAAA&#10;AAQABADzAAAAQgUAAAAA&#10;" strokecolor="#ed7d31 [3205]" strokeweight="1pt">
                <v:stroke endarrow="block" joinstyle="miter"/>
              </v:shape>
            </w:pict>
          </mc:Fallback>
        </mc:AlternateContent>
      </w:r>
    </w:p>
    <w:p w14:paraId="1F1168E5" w14:textId="3D799395" w:rsidR="00AA3D38" w:rsidRDefault="00845516" w:rsidP="00E4357B">
      <w:pPr>
        <w:spacing w:after="160" w:line="259" w:lineRule="auto"/>
        <w:jc w:val="left"/>
      </w:pPr>
      <w:r>
        <w:rPr>
          <w:noProof/>
          <w14:ligatures w14:val="none"/>
          <w14:numForm w14:val="default"/>
          <w14:numSpacing w14:val="default"/>
        </w:rPr>
        <w:drawing>
          <wp:inline distT="0" distB="0" distL="0" distR="0" wp14:anchorId="45CD144F" wp14:editId="6EFBC156">
            <wp:extent cx="5206401" cy="1660737"/>
            <wp:effectExtent l="133350" t="114300" r="146685" b="16827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stretch>
                      <a:fillRect/>
                    </a:stretch>
                  </pic:blipFill>
                  <pic:spPr>
                    <a:xfrm>
                      <a:off x="0" y="0"/>
                      <a:ext cx="5223106" cy="16660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DC380E">
        <w:br w:type="page"/>
      </w:r>
    </w:p>
    <w:p w14:paraId="72825EEA" w14:textId="22C5C329" w:rsidR="00417F0E" w:rsidRDefault="00246935" w:rsidP="00D23743">
      <w:pPr>
        <w:pStyle w:val="Heading2"/>
      </w:pPr>
      <w:r>
        <w:lastRenderedPageBreak/>
        <w:t>Volatility</w:t>
      </w:r>
    </w:p>
    <w:p w14:paraId="17DCB2E5" w14:textId="027CF4CD" w:rsidR="00246935" w:rsidRDefault="00246935" w:rsidP="00246935">
      <w:r>
        <w:t xml:space="preserve">Volatility is a visual representation referring to the level of risk as it relates to the change in a securities price.  Higher volatility signals intraday prices can be spread out over a greater range of values. </w:t>
      </w:r>
      <w:r w:rsidR="009C3201">
        <w:t>Visually, this would look like a larger gap between a security’s high and low prices.  When volatility is high, t</w:t>
      </w:r>
      <w:r>
        <w:t xml:space="preserve">his is an indicator that the price of a security can change in direction considerably over a shorter period of time. Lower volatility signals that a security’s value </w:t>
      </w:r>
      <w:r w:rsidR="009C3201">
        <w:t xml:space="preserve">tends to be steadier because the value does not vary considerably.   </w:t>
      </w:r>
    </w:p>
    <w:p w14:paraId="4BC5E308" w14:textId="51ADFC0E" w:rsidR="009C3201" w:rsidRDefault="009C3201" w:rsidP="00246935">
      <w:r>
        <w:t xml:space="preserve">Volatility can be calculated using either standard deviation or variance.  </w:t>
      </w:r>
      <w:r w:rsidR="009108AE">
        <w:t xml:space="preserve">For this assignment, I used standard deviation and a 14 period lookback.  </w:t>
      </w:r>
      <w:r w:rsidR="00956959">
        <w:t xml:space="preserve">Additionally, I plotted the normalized stock price of JPM. </w:t>
      </w:r>
      <w:r w:rsidR="009108AE">
        <w:t>The following formula can be used to calculate volatility using standard deviation:</w:t>
      </w:r>
    </w:p>
    <w:p w14:paraId="003262F2" w14:textId="3E8B209B" w:rsidR="009108AE" w:rsidRDefault="009108AE" w:rsidP="00246935">
      <w:pPr>
        <w:rPr>
          <w:b/>
          <w:bCs/>
        </w:rPr>
      </w:pPr>
      <w:r>
        <w:rPr>
          <w:b/>
          <w:bCs/>
        </w:rPr>
        <w:t xml:space="preserve">Volatility = </w:t>
      </w:r>
      <m:oMath>
        <m:sSup>
          <m:sSupPr>
            <m:ctrlPr>
              <w:rPr>
                <w:rFonts w:ascii="Cambria Math" w:hAnsi="Cambria Math"/>
                <w:b/>
                <w:bCs/>
                <w:i/>
              </w:rPr>
            </m:ctrlPr>
          </m:sSupPr>
          <m:e>
            <m:rad>
              <m:radPr>
                <m:degHide m:val="1"/>
                <m:ctrlPr>
                  <w:rPr>
                    <w:rFonts w:ascii="Cambria Math" w:hAnsi="Cambria Math"/>
                    <w:b/>
                    <w:bCs/>
                    <w:i/>
                  </w:rPr>
                </m:ctrlPr>
              </m:radPr>
              <m:deg/>
              <m:e>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(xi-</m:t>
                    </m:r>
                    <m:bar>
                      <m:barPr>
                        <m:pos m:val="top"/>
                        <m:ctrlPr>
                          <w:rPr>
                            <w:rFonts w:ascii="Cambria Math" w:hAnsi="Cambria Math"/>
                            <w:b/>
                            <w:bCs/>
                            <w:i/>
                          </w:rPr>
                        </m:ctrlPr>
                      </m:barPr>
                      <m:e>
                        <m:r>
                          <m:rPr>
                            <m:sty m:val="bi"/>
                          </m:rPr>
                          <w:rPr>
                            <w:rFonts w:ascii="Cambria Math" w:hAnsi="Cambria Math"/>
                          </w:rPr>
                          <m:t>x</m:t>
                        </m:r>
                      </m:e>
                    </m:bar>
                  </m:e>
                </m:nary>
              </m:e>
            </m:rad>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/n- 1</m:t>
        </m:r>
      </m:oMath>
    </w:p>
    <w:p w14:paraId="7A6EA875" w14:textId="700B4C93" w:rsidR="00956959" w:rsidRDefault="00956959" w:rsidP="00246935">
      <w:r>
        <w:rPr>
          <w:noProof/>
          <w14:ligatures w14:val="none"/>
          <w14:numForm w14:val="default"/>
          <w14:numSpacing w14:val="default"/>
        </w:rPr>
        <w:drawing>
          <wp:anchor distT="0" distB="0" distL="114300" distR="114300" simplePos="0" relativeHeight="251671552" behindDoc="0" locked="0" layoutInCell="1" allowOverlap="1" wp14:anchorId="59D9EEA8" wp14:editId="440D2AB7">
            <wp:simplePos x="0" y="0"/>
            <wp:positionH relativeFrom="margin">
              <wp:align>center</wp:align>
            </wp:positionH>
            <wp:positionV relativeFrom="paragraph">
              <wp:posOffset>840812</wp:posOffset>
            </wp:positionV>
            <wp:extent cx="5029200" cy="1978660"/>
            <wp:effectExtent l="133350" t="114300" r="152400" b="173990"/>
            <wp:wrapSquare wrapText="bothSides"/>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1978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Where ‘xi’ is the value of the </w:t>
      </w:r>
      <w:proofErr w:type="spellStart"/>
      <w:r>
        <w:t>i-th</w:t>
      </w:r>
      <w:proofErr w:type="spellEnd"/>
      <w:r>
        <w:t xml:space="preserve"> point, ‘x’ is the mean value of the prices, and ‘n’ is the number of points.  </w:t>
      </w:r>
    </w:p>
    <w:p w14:paraId="77ED1FCE" w14:textId="2531515E" w:rsidR="00956959" w:rsidRDefault="00956959" w:rsidP="00246935"/>
    <w:p w14:paraId="73E68C30" w14:textId="09C18EBA" w:rsidR="00956959" w:rsidRDefault="00956959" w:rsidP="00246935"/>
    <w:p w14:paraId="161EEC92" w14:textId="657AB5CE" w:rsidR="00956959" w:rsidRPr="00956959" w:rsidRDefault="00956959" w:rsidP="00246935"/>
    <w:p w14:paraId="0D44AE06" w14:textId="77777777" w:rsidR="009C3201" w:rsidRDefault="009C3201" w:rsidP="00246935"/>
    <w:p w14:paraId="3DFF3ECD" w14:textId="04192521" w:rsidR="009C3201" w:rsidRDefault="009C3201" w:rsidP="00246935"/>
    <w:p w14:paraId="53B2109E" w14:textId="71346EFD" w:rsidR="009C3201" w:rsidRDefault="009C3201" w:rsidP="00246935"/>
    <w:p w14:paraId="0392C7D7" w14:textId="3109342F" w:rsidR="009C3201" w:rsidRDefault="009C3201" w:rsidP="00246935"/>
    <w:p w14:paraId="4923C7F0" w14:textId="77777777" w:rsidR="009C3201" w:rsidRPr="00246935" w:rsidRDefault="009C3201" w:rsidP="00246935"/>
    <w:p w14:paraId="38AB3AA4" w14:textId="388BE9E7" w:rsidR="00D308CA" w:rsidRDefault="00193D13" w:rsidP="00D308CA">
      <w:pPr>
        <w:pStyle w:val="Heading1"/>
      </w:pPr>
      <w:r>
        <w:t>theoretically optimal strategy</w:t>
      </w:r>
    </w:p>
    <w:p w14:paraId="6212248F" w14:textId="2D78DAC2" w:rsidR="00F2754A" w:rsidRDefault="00193D13" w:rsidP="00193D13">
      <w:r>
        <w:t>This</w:t>
      </w:r>
      <w:r>
        <w:t xml:space="preserve"> part of the assignment look</w:t>
      </w:r>
      <w:r>
        <w:t>s</w:t>
      </w:r>
      <w:r>
        <w:t xml:space="preserve"> at a </w:t>
      </w:r>
      <w:r w:rsidR="00F2754A">
        <w:t>portfolio’s</w:t>
      </w:r>
      <w:r>
        <w:t xml:space="preserve"> performance </w:t>
      </w:r>
      <w:r>
        <w:t xml:space="preserve">assuming </w:t>
      </w:r>
      <w:r w:rsidR="00F2754A">
        <w:t>I, the</w:t>
      </w:r>
      <w:r>
        <w:t xml:space="preserve"> trader</w:t>
      </w:r>
      <w:r w:rsidR="00F2754A">
        <w:t>,</w:t>
      </w:r>
      <w:r>
        <w:t xml:space="preserve"> can peek into the future</w:t>
      </w:r>
      <w:r w:rsidR="00F2754A">
        <w:t xml:space="preserve">.  This is compared to </w:t>
      </w:r>
      <w:r>
        <w:t xml:space="preserve">a benchmark portfolio where a security is purchased and held.  By being able to foretell what the stock price will do on the following day, </w:t>
      </w:r>
      <w:r w:rsidR="00F2754A">
        <w:t>I ultimately know to</w:t>
      </w:r>
      <w:r>
        <w:t xml:space="preserve"> buy or sell the stock.  Our buying/selling limit, however, is capped at 1000 and -1000.  Also available is a hold</w:t>
      </w:r>
      <w:r w:rsidR="00F2754A">
        <w:t xml:space="preserve"> where no trade occurs.  </w:t>
      </w:r>
      <w:r w:rsidR="00817460">
        <w:t xml:space="preserve">Additionally, at any time, we can only hold a maximum of 1000 shares and minimum of -1000 shares.  This limits the values of my trading to 2000 and -2000 respectively.  Also important to note is that we have an initial starting value of $100,000, commission is $0.00, and impact is 0.0.  </w:t>
      </w:r>
    </w:p>
    <w:p w14:paraId="4124378E" w14:textId="41AA6B3F" w:rsidR="00836CD2" w:rsidRDefault="00F2754A" w:rsidP="00193D13">
      <w:r>
        <w:t>The strategy I used to create th</w:t>
      </w:r>
      <w:r w:rsidR="000743E2">
        <w:t xml:space="preserve">e TOS </w:t>
      </w:r>
      <w:r>
        <w:t>was to take the ratio of the current price v</w:t>
      </w:r>
      <w:r w:rsidR="000743E2">
        <w:t>ersus</w:t>
      </w:r>
      <w:r>
        <w:t xml:space="preserve"> the following days price and subtract 1 from it.  If the resulting value is a negative, I add a positive trade indicator to my trading </w:t>
      </w:r>
      <w:proofErr w:type="spellStart"/>
      <w:r>
        <w:t>dataframe</w:t>
      </w:r>
      <w:proofErr w:type="spellEnd"/>
      <w:r>
        <w:t xml:space="preserve"> because, knowing the price will rise tomorrow, signals a buy.  When the resulting calculation is positive, I want to sell and write a negative trade indicator to my trading </w:t>
      </w:r>
      <w:proofErr w:type="spellStart"/>
      <w:r>
        <w:t>dataframe</w:t>
      </w:r>
      <w:proofErr w:type="spellEnd"/>
      <w:r>
        <w:t xml:space="preserve">.  </w:t>
      </w:r>
      <w:r w:rsidR="000743E2">
        <w:t>For the benchmark strategy, I simply purchase 1000 shares of stock on day 1 and hold it for the entirety of the duration tested.  The r</w:t>
      </w:r>
      <w:r w:rsidR="00836CD2">
        <w:t>esult</w:t>
      </w:r>
      <w:r w:rsidR="000743E2">
        <w:t xml:space="preserve"> is clear</w:t>
      </w:r>
      <w:r w:rsidR="00836CD2">
        <w:t>,</w:t>
      </w:r>
      <w:r w:rsidR="000743E2">
        <w:t xml:space="preserve"> seeing into the future is an effective way to maximize returns.  </w:t>
      </w:r>
    </w:p>
    <w:p w14:paraId="41E1193E" w14:textId="7D80C952" w:rsidR="00836CD2" w:rsidRDefault="00836CD2" w:rsidP="00193D13">
      <w:r>
        <w:t xml:space="preserve">Looking at the following table, we can see the TOS returned about 500% better as compared to the benchmark strategy.  </w:t>
      </w:r>
    </w:p>
    <w:p w14:paraId="5198555D" w14:textId="1944259E" w:rsidR="00836CD2" w:rsidRDefault="00836CD2" w:rsidP="00193D13">
      <w:r>
        <w:rPr>
          <w:noProof/>
          <w14:ligatures w14:val="none"/>
          <w14:numForm w14:val="default"/>
          <w14:numSpacing w14:val="default"/>
        </w:rPr>
        <w:lastRenderedPageBreak/>
        <w:drawing>
          <wp:anchor distT="0" distB="0" distL="114300" distR="114300" simplePos="0" relativeHeight="251673600" behindDoc="0" locked="0" layoutInCell="1" allowOverlap="1" wp14:anchorId="6663D5C5" wp14:editId="42FA81BC">
            <wp:simplePos x="0" y="0"/>
            <wp:positionH relativeFrom="column">
              <wp:posOffset>0</wp:posOffset>
            </wp:positionH>
            <wp:positionV relativeFrom="paragraph">
              <wp:posOffset>1552755</wp:posOffset>
            </wp:positionV>
            <wp:extent cx="5029200" cy="3831590"/>
            <wp:effectExtent l="133350" t="114300" r="152400" b="168910"/>
            <wp:wrapSquare wrapText="bothSides"/>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3831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82D517E" w14:textId="77777777" w:rsidR="00836CD2" w:rsidRDefault="00836CD2" w:rsidP="00193D13"/>
    <w:p w14:paraId="5AB53A55" w14:textId="387D1BAE" w:rsidR="000743E2" w:rsidRDefault="000743E2" w:rsidP="00193D13"/>
    <w:p w14:paraId="0A2AA8A4" w14:textId="233EF5E9" w:rsidR="000743E2" w:rsidRPr="00D308CA" w:rsidRDefault="000743E2" w:rsidP="00193D13"/>
    <w:p w14:paraId="76B7F458" w14:textId="416CA7AA" w:rsidR="00314FD6" w:rsidRPr="00D308CA" w:rsidRDefault="00836CD2" w:rsidP="00193D13">
      <w:r w:rsidRPr="00836CD2">
        <w:drawing>
          <wp:anchor distT="0" distB="0" distL="114300" distR="114300" simplePos="0" relativeHeight="251672576" behindDoc="0" locked="0" layoutInCell="1" allowOverlap="1" wp14:anchorId="60AD1FF8" wp14:editId="17F15150">
            <wp:simplePos x="0" y="0"/>
            <wp:positionH relativeFrom="margin">
              <wp:align>center</wp:align>
            </wp:positionH>
            <wp:positionV relativeFrom="paragraph">
              <wp:posOffset>4597579</wp:posOffset>
            </wp:positionV>
            <wp:extent cx="4597400" cy="12592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7400" cy="12592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14FD6" w:rsidRPr="00D308CA" w:rsidSect="00641ADD">
      <w:headerReference w:type="even" r:id="rId17"/>
      <w:headerReference w:type="default" r:id="rId18"/>
      <w:footerReference w:type="even" r:id="rId19"/>
      <w:footerReference w:type="default" r:id="rId20"/>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9EC9F" w14:textId="77777777" w:rsidR="00BF6262" w:rsidRDefault="00BF6262" w:rsidP="00126D77">
      <w:r>
        <w:separator/>
      </w:r>
    </w:p>
  </w:endnote>
  <w:endnote w:type="continuationSeparator" w:id="0">
    <w:p w14:paraId="55F8B19A" w14:textId="77777777" w:rsidR="00BF6262" w:rsidRDefault="00BF6262"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altName w:val="Courier New"/>
    <w:panose1 w:val="02070409020205020404"/>
    <w:charset w:val="00"/>
    <w:family w:val="auto"/>
    <w:pitch w:val="variable"/>
    <w:sig w:usb0="00000003" w:usb1="00000000" w:usb2="00000000" w:usb3="00000000" w:csb0="00000003" w:csb1="00000000"/>
  </w:font>
  <w:font w:name="Crimson Text">
    <w:charset w:val="4D"/>
    <w:family w:val="auto"/>
    <w:pitch w:val="variable"/>
    <w:sig w:usb0="80000043" w:usb1="40000062"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0CAC3" w14:textId="77777777" w:rsidR="00BF6262" w:rsidRDefault="00BF6262" w:rsidP="0060186D">
      <w:pPr>
        <w:spacing w:after="0" w:line="110" w:lineRule="exact"/>
      </w:pPr>
    </w:p>
  </w:footnote>
  <w:footnote w:type="continuationSeparator" w:id="0">
    <w:p w14:paraId="6DB4682D" w14:textId="77777777" w:rsidR="00BF6262" w:rsidRPr="00BB7AEF" w:rsidRDefault="00BF6262" w:rsidP="00BB7AEF">
      <w:pPr>
        <w:spacing w:after="0" w:line="20" w:lineRule="exact"/>
        <w:rPr>
          <w:sz w:val="2"/>
        </w:rPr>
      </w:pPr>
    </w:p>
  </w:footnote>
  <w:footnote w:type="continuationNotice" w:id="1">
    <w:p w14:paraId="4AD8A201" w14:textId="77777777" w:rsidR="00BF6262" w:rsidRPr="00AE67B5" w:rsidRDefault="00BF6262"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56AEB9FE"/>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35D0FDF"/>
    <w:multiLevelType w:val="hybridMultilevel"/>
    <w:tmpl w:val="2C449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1"/>
  </w:num>
  <w:num w:numId="3">
    <w:abstractNumId w:val="2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num>
  <w:num w:numId="6">
    <w:abstractNumId w:val="14"/>
  </w:num>
  <w:num w:numId="7">
    <w:abstractNumId w:val="33"/>
  </w:num>
  <w:num w:numId="8">
    <w:abstractNumId w:val="7"/>
  </w:num>
  <w:num w:numId="9">
    <w:abstractNumId w:val="34"/>
  </w:num>
  <w:num w:numId="10">
    <w:abstractNumId w:val="13"/>
  </w:num>
  <w:num w:numId="11">
    <w:abstractNumId w:val="9"/>
  </w:num>
  <w:num w:numId="12">
    <w:abstractNumId w:val="27"/>
  </w:num>
  <w:num w:numId="13">
    <w:abstractNumId w:val="12"/>
  </w:num>
  <w:num w:numId="14">
    <w:abstractNumId w:val="30"/>
  </w:num>
  <w:num w:numId="15">
    <w:abstractNumId w:val="37"/>
  </w:num>
  <w:num w:numId="16">
    <w:abstractNumId w:val="35"/>
    <w:lvlOverride w:ilvl="0">
      <w:startOverride w:val="1"/>
    </w:lvlOverride>
  </w:num>
  <w:num w:numId="17">
    <w:abstractNumId w:val="35"/>
    <w:lvlOverride w:ilvl="0">
      <w:startOverride w:val="1"/>
    </w:lvlOverride>
  </w:num>
  <w:num w:numId="18">
    <w:abstractNumId w:val="35"/>
    <w:lvlOverride w:ilvl="0">
      <w:startOverride w:val="1"/>
    </w:lvlOverride>
  </w:num>
  <w:num w:numId="19">
    <w:abstractNumId w:val="35"/>
    <w:lvlOverride w:ilvl="0">
      <w:startOverride w:val="1"/>
    </w:lvlOverride>
  </w:num>
  <w:num w:numId="20">
    <w:abstractNumId w:val="35"/>
    <w:lvlOverride w:ilvl="0">
      <w:startOverride w:val="1"/>
    </w:lvlOverride>
  </w:num>
  <w:num w:numId="21">
    <w:abstractNumId w:val="35"/>
    <w:lvlOverride w:ilvl="0">
      <w:startOverride w:val="1"/>
    </w:lvlOverride>
  </w:num>
  <w:num w:numId="22">
    <w:abstractNumId w:val="0"/>
  </w:num>
  <w:num w:numId="23">
    <w:abstractNumId w:val="28"/>
  </w:num>
  <w:num w:numId="24">
    <w:abstractNumId w:val="28"/>
    <w:lvlOverride w:ilvl="0">
      <w:startOverride w:val="1"/>
    </w:lvlOverride>
  </w:num>
  <w:num w:numId="25">
    <w:abstractNumId w:val="36"/>
  </w:num>
  <w:num w:numId="26">
    <w:abstractNumId w:val="6"/>
  </w:num>
  <w:num w:numId="27">
    <w:abstractNumId w:val="17"/>
  </w:num>
  <w:num w:numId="28">
    <w:abstractNumId w:val="18"/>
  </w:num>
  <w:num w:numId="29">
    <w:abstractNumId w:val="4"/>
  </w:num>
  <w:num w:numId="30">
    <w:abstractNumId w:val="2"/>
  </w:num>
  <w:num w:numId="31">
    <w:abstractNumId w:val="11"/>
  </w:num>
  <w:num w:numId="32">
    <w:abstractNumId w:val="15"/>
  </w:num>
  <w:num w:numId="33">
    <w:abstractNumId w:val="1"/>
  </w:num>
  <w:num w:numId="34">
    <w:abstractNumId w:val="16"/>
  </w:num>
  <w:num w:numId="35">
    <w:abstractNumId w:val="21"/>
  </w:num>
  <w:num w:numId="36">
    <w:abstractNumId w:val="8"/>
  </w:num>
  <w:num w:numId="37">
    <w:abstractNumId w:val="29"/>
  </w:num>
  <w:num w:numId="38">
    <w:abstractNumId w:val="24"/>
  </w:num>
  <w:num w:numId="39">
    <w:abstractNumId w:val="23"/>
  </w:num>
  <w:num w:numId="40">
    <w:abstractNumId w:val="20"/>
  </w:num>
  <w:num w:numId="41">
    <w:abstractNumId w:val="10"/>
  </w:num>
  <w:num w:numId="42">
    <w:abstractNumId w:val="25"/>
  </w:num>
  <w:num w:numId="43">
    <w:abstractNumId w:val="38"/>
  </w:num>
  <w:num w:numId="44">
    <w:abstractNumId w:val="22"/>
  </w:num>
  <w:num w:numId="45">
    <w:abstractNumId w:val="39"/>
  </w:num>
  <w:num w:numId="46">
    <w:abstractNumId w:val="32"/>
  </w:num>
  <w:num w:numId="47">
    <w:abstractNumId w:val="3"/>
  </w:num>
  <w:num w:numId="48">
    <w:abstractNumId w:val="22"/>
    <w:lvlOverride w:ilvl="0">
      <w:startOverride w:val="1"/>
    </w:lvlOverride>
  </w:num>
  <w:num w:numId="49">
    <w:abstractNumId w:val="19"/>
  </w:num>
  <w:num w:numId="50">
    <w:abstractNumId w:val="8"/>
    <w:lvlOverride w:ilvl="0">
      <w:startOverride w:val="1"/>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5A8"/>
    <w:rsid w:val="00015661"/>
    <w:rsid w:val="0001758E"/>
    <w:rsid w:val="00020CE7"/>
    <w:rsid w:val="000227CF"/>
    <w:rsid w:val="0002420C"/>
    <w:rsid w:val="00030A1C"/>
    <w:rsid w:val="00030F47"/>
    <w:rsid w:val="00031ACE"/>
    <w:rsid w:val="00031E19"/>
    <w:rsid w:val="000326E2"/>
    <w:rsid w:val="0004097D"/>
    <w:rsid w:val="000435DE"/>
    <w:rsid w:val="00043A15"/>
    <w:rsid w:val="00045282"/>
    <w:rsid w:val="00053A61"/>
    <w:rsid w:val="000576D8"/>
    <w:rsid w:val="00060B34"/>
    <w:rsid w:val="00060DEA"/>
    <w:rsid w:val="000613DF"/>
    <w:rsid w:val="00062881"/>
    <w:rsid w:val="00064626"/>
    <w:rsid w:val="00071AD7"/>
    <w:rsid w:val="00071F4D"/>
    <w:rsid w:val="000733EC"/>
    <w:rsid w:val="000736BA"/>
    <w:rsid w:val="000743E2"/>
    <w:rsid w:val="0007537F"/>
    <w:rsid w:val="00077849"/>
    <w:rsid w:val="00082DC0"/>
    <w:rsid w:val="00084043"/>
    <w:rsid w:val="000842AF"/>
    <w:rsid w:val="0008560D"/>
    <w:rsid w:val="00091B87"/>
    <w:rsid w:val="000A01AF"/>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D1C05"/>
    <w:rsid w:val="000D230A"/>
    <w:rsid w:val="000D24B3"/>
    <w:rsid w:val="000D6A8A"/>
    <w:rsid w:val="000E1BD8"/>
    <w:rsid w:val="000E2391"/>
    <w:rsid w:val="000E4B49"/>
    <w:rsid w:val="000F5ACE"/>
    <w:rsid w:val="000F6C8C"/>
    <w:rsid w:val="001026FF"/>
    <w:rsid w:val="00106BC3"/>
    <w:rsid w:val="0011139F"/>
    <w:rsid w:val="00111F28"/>
    <w:rsid w:val="0011618C"/>
    <w:rsid w:val="00117ECF"/>
    <w:rsid w:val="001226B8"/>
    <w:rsid w:val="001227A5"/>
    <w:rsid w:val="00124EC2"/>
    <w:rsid w:val="00126D77"/>
    <w:rsid w:val="00132FF3"/>
    <w:rsid w:val="00135B1D"/>
    <w:rsid w:val="001366F3"/>
    <w:rsid w:val="00141B95"/>
    <w:rsid w:val="001468F9"/>
    <w:rsid w:val="0014733E"/>
    <w:rsid w:val="00150453"/>
    <w:rsid w:val="001508F7"/>
    <w:rsid w:val="00151FB5"/>
    <w:rsid w:val="00155D9A"/>
    <w:rsid w:val="00156F11"/>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82A"/>
    <w:rsid w:val="00184E25"/>
    <w:rsid w:val="001879C8"/>
    <w:rsid w:val="00193D13"/>
    <w:rsid w:val="00193F58"/>
    <w:rsid w:val="001942D7"/>
    <w:rsid w:val="00194787"/>
    <w:rsid w:val="001A10F2"/>
    <w:rsid w:val="001A1AB8"/>
    <w:rsid w:val="001A228E"/>
    <w:rsid w:val="001A4533"/>
    <w:rsid w:val="001A48DF"/>
    <w:rsid w:val="001A657B"/>
    <w:rsid w:val="001B415A"/>
    <w:rsid w:val="001B681E"/>
    <w:rsid w:val="001C00F6"/>
    <w:rsid w:val="001C5252"/>
    <w:rsid w:val="001C52FB"/>
    <w:rsid w:val="001C60A6"/>
    <w:rsid w:val="001C737D"/>
    <w:rsid w:val="001C7DFD"/>
    <w:rsid w:val="001C7E2A"/>
    <w:rsid w:val="001D2B7D"/>
    <w:rsid w:val="001D7DCD"/>
    <w:rsid w:val="001E0F5D"/>
    <w:rsid w:val="001E21C6"/>
    <w:rsid w:val="001E265E"/>
    <w:rsid w:val="001E2A54"/>
    <w:rsid w:val="001E30C7"/>
    <w:rsid w:val="001E56D1"/>
    <w:rsid w:val="001E5E5E"/>
    <w:rsid w:val="001F07CB"/>
    <w:rsid w:val="001F1496"/>
    <w:rsid w:val="001F1DFB"/>
    <w:rsid w:val="001F1E50"/>
    <w:rsid w:val="001F4393"/>
    <w:rsid w:val="001F4AFC"/>
    <w:rsid w:val="001F5005"/>
    <w:rsid w:val="001F5AFD"/>
    <w:rsid w:val="00203DBD"/>
    <w:rsid w:val="002052ED"/>
    <w:rsid w:val="00206ACA"/>
    <w:rsid w:val="002109C8"/>
    <w:rsid w:val="002132E3"/>
    <w:rsid w:val="002142EB"/>
    <w:rsid w:val="0022085A"/>
    <w:rsid w:val="00223D65"/>
    <w:rsid w:val="0022524E"/>
    <w:rsid w:val="00226450"/>
    <w:rsid w:val="0022738A"/>
    <w:rsid w:val="00227B52"/>
    <w:rsid w:val="00236BE1"/>
    <w:rsid w:val="0024142B"/>
    <w:rsid w:val="002418FE"/>
    <w:rsid w:val="00244C89"/>
    <w:rsid w:val="00244DA3"/>
    <w:rsid w:val="00246935"/>
    <w:rsid w:val="00251DA6"/>
    <w:rsid w:val="002540F0"/>
    <w:rsid w:val="00257B56"/>
    <w:rsid w:val="00260A81"/>
    <w:rsid w:val="0026126F"/>
    <w:rsid w:val="00266C96"/>
    <w:rsid w:val="00270834"/>
    <w:rsid w:val="0027188D"/>
    <w:rsid w:val="00271FF2"/>
    <w:rsid w:val="00272991"/>
    <w:rsid w:val="00280650"/>
    <w:rsid w:val="00281FCB"/>
    <w:rsid w:val="002839B1"/>
    <w:rsid w:val="0028491E"/>
    <w:rsid w:val="00287386"/>
    <w:rsid w:val="00290E84"/>
    <w:rsid w:val="00293BC0"/>
    <w:rsid w:val="002948EC"/>
    <w:rsid w:val="0029645B"/>
    <w:rsid w:val="002A09D4"/>
    <w:rsid w:val="002A346E"/>
    <w:rsid w:val="002B1C35"/>
    <w:rsid w:val="002B2730"/>
    <w:rsid w:val="002B63CA"/>
    <w:rsid w:val="002B64D6"/>
    <w:rsid w:val="002B7FCB"/>
    <w:rsid w:val="002C10B1"/>
    <w:rsid w:val="002C1730"/>
    <w:rsid w:val="002C231C"/>
    <w:rsid w:val="002C2EA0"/>
    <w:rsid w:val="002C6457"/>
    <w:rsid w:val="002D5B6B"/>
    <w:rsid w:val="002D71BC"/>
    <w:rsid w:val="002E20C6"/>
    <w:rsid w:val="002E3618"/>
    <w:rsid w:val="002E3F1B"/>
    <w:rsid w:val="002E47E0"/>
    <w:rsid w:val="002E486D"/>
    <w:rsid w:val="002E56F5"/>
    <w:rsid w:val="002F4298"/>
    <w:rsid w:val="002F4366"/>
    <w:rsid w:val="002F5798"/>
    <w:rsid w:val="002F5D9D"/>
    <w:rsid w:val="002F7302"/>
    <w:rsid w:val="002F7BA8"/>
    <w:rsid w:val="00301E06"/>
    <w:rsid w:val="00302B13"/>
    <w:rsid w:val="003031BB"/>
    <w:rsid w:val="00303B10"/>
    <w:rsid w:val="00303D72"/>
    <w:rsid w:val="003044BB"/>
    <w:rsid w:val="003061EB"/>
    <w:rsid w:val="0031149D"/>
    <w:rsid w:val="003125D2"/>
    <w:rsid w:val="00312B37"/>
    <w:rsid w:val="00314FD6"/>
    <w:rsid w:val="0031675A"/>
    <w:rsid w:val="00317D72"/>
    <w:rsid w:val="003208FB"/>
    <w:rsid w:val="00320984"/>
    <w:rsid w:val="003259C7"/>
    <w:rsid w:val="00326A4F"/>
    <w:rsid w:val="00327186"/>
    <w:rsid w:val="00332735"/>
    <w:rsid w:val="00340B08"/>
    <w:rsid w:val="0034345B"/>
    <w:rsid w:val="00351C5A"/>
    <w:rsid w:val="00353B50"/>
    <w:rsid w:val="00356F39"/>
    <w:rsid w:val="00360939"/>
    <w:rsid w:val="00361865"/>
    <w:rsid w:val="00361A3E"/>
    <w:rsid w:val="00366883"/>
    <w:rsid w:val="00366B2D"/>
    <w:rsid w:val="00370DCB"/>
    <w:rsid w:val="00370F79"/>
    <w:rsid w:val="00373528"/>
    <w:rsid w:val="00373663"/>
    <w:rsid w:val="0037558A"/>
    <w:rsid w:val="00375FF8"/>
    <w:rsid w:val="003825F5"/>
    <w:rsid w:val="00383338"/>
    <w:rsid w:val="003849C1"/>
    <w:rsid w:val="00385D86"/>
    <w:rsid w:val="00390FA2"/>
    <w:rsid w:val="00394516"/>
    <w:rsid w:val="00394E3E"/>
    <w:rsid w:val="003961A6"/>
    <w:rsid w:val="003A46EA"/>
    <w:rsid w:val="003A4970"/>
    <w:rsid w:val="003A62EB"/>
    <w:rsid w:val="003A7D06"/>
    <w:rsid w:val="003B0B8B"/>
    <w:rsid w:val="003B4A52"/>
    <w:rsid w:val="003B5280"/>
    <w:rsid w:val="003B7F2C"/>
    <w:rsid w:val="003C2E77"/>
    <w:rsid w:val="003C3139"/>
    <w:rsid w:val="003C529A"/>
    <w:rsid w:val="003D0ED4"/>
    <w:rsid w:val="003D6955"/>
    <w:rsid w:val="003E098F"/>
    <w:rsid w:val="003E21C6"/>
    <w:rsid w:val="003E687F"/>
    <w:rsid w:val="003E7050"/>
    <w:rsid w:val="003F106D"/>
    <w:rsid w:val="003F7B8C"/>
    <w:rsid w:val="004027C6"/>
    <w:rsid w:val="00407341"/>
    <w:rsid w:val="004075D5"/>
    <w:rsid w:val="004078D4"/>
    <w:rsid w:val="004132B8"/>
    <w:rsid w:val="0041391B"/>
    <w:rsid w:val="004156C8"/>
    <w:rsid w:val="00417F0E"/>
    <w:rsid w:val="00422A19"/>
    <w:rsid w:val="00422BCE"/>
    <w:rsid w:val="004248B1"/>
    <w:rsid w:val="00425FB1"/>
    <w:rsid w:val="00426676"/>
    <w:rsid w:val="0043014A"/>
    <w:rsid w:val="0043030F"/>
    <w:rsid w:val="0043107E"/>
    <w:rsid w:val="004312E4"/>
    <w:rsid w:val="00443D14"/>
    <w:rsid w:val="00450874"/>
    <w:rsid w:val="004508B1"/>
    <w:rsid w:val="00451B4A"/>
    <w:rsid w:val="0045390F"/>
    <w:rsid w:val="0045755B"/>
    <w:rsid w:val="00460451"/>
    <w:rsid w:val="00463D6D"/>
    <w:rsid w:val="00464893"/>
    <w:rsid w:val="004676C6"/>
    <w:rsid w:val="00470D9A"/>
    <w:rsid w:val="0047173B"/>
    <w:rsid w:val="00472536"/>
    <w:rsid w:val="004757F8"/>
    <w:rsid w:val="004771C4"/>
    <w:rsid w:val="004828E3"/>
    <w:rsid w:val="004838FC"/>
    <w:rsid w:val="00491C67"/>
    <w:rsid w:val="00492688"/>
    <w:rsid w:val="004939A8"/>
    <w:rsid w:val="00493F27"/>
    <w:rsid w:val="004948E5"/>
    <w:rsid w:val="00495608"/>
    <w:rsid w:val="004A11B2"/>
    <w:rsid w:val="004A25C9"/>
    <w:rsid w:val="004A3E87"/>
    <w:rsid w:val="004A49BA"/>
    <w:rsid w:val="004A639B"/>
    <w:rsid w:val="004B0181"/>
    <w:rsid w:val="004B1B29"/>
    <w:rsid w:val="004B2D19"/>
    <w:rsid w:val="004B75CF"/>
    <w:rsid w:val="004C7019"/>
    <w:rsid w:val="004E725D"/>
    <w:rsid w:val="004F0C8B"/>
    <w:rsid w:val="004F2849"/>
    <w:rsid w:val="004F59AE"/>
    <w:rsid w:val="004F6A63"/>
    <w:rsid w:val="004F7868"/>
    <w:rsid w:val="0050283F"/>
    <w:rsid w:val="00503857"/>
    <w:rsid w:val="00504524"/>
    <w:rsid w:val="00505A7B"/>
    <w:rsid w:val="00506258"/>
    <w:rsid w:val="0050660D"/>
    <w:rsid w:val="005075D1"/>
    <w:rsid w:val="00507A8F"/>
    <w:rsid w:val="00510B25"/>
    <w:rsid w:val="00511091"/>
    <w:rsid w:val="00512A74"/>
    <w:rsid w:val="0051349A"/>
    <w:rsid w:val="00513F4E"/>
    <w:rsid w:val="00515652"/>
    <w:rsid w:val="00520730"/>
    <w:rsid w:val="005253BF"/>
    <w:rsid w:val="005256E3"/>
    <w:rsid w:val="005258D7"/>
    <w:rsid w:val="00525B65"/>
    <w:rsid w:val="005304FB"/>
    <w:rsid w:val="00531346"/>
    <w:rsid w:val="00531C40"/>
    <w:rsid w:val="0053288B"/>
    <w:rsid w:val="005332DA"/>
    <w:rsid w:val="005344E7"/>
    <w:rsid w:val="005351A8"/>
    <w:rsid w:val="005369E2"/>
    <w:rsid w:val="00537D62"/>
    <w:rsid w:val="0054029E"/>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5205"/>
    <w:rsid w:val="005946D4"/>
    <w:rsid w:val="00594BF7"/>
    <w:rsid w:val="0059530D"/>
    <w:rsid w:val="005961B9"/>
    <w:rsid w:val="00597142"/>
    <w:rsid w:val="005A67C5"/>
    <w:rsid w:val="005A757A"/>
    <w:rsid w:val="005B0A9F"/>
    <w:rsid w:val="005B7109"/>
    <w:rsid w:val="005C15AC"/>
    <w:rsid w:val="005C20EF"/>
    <w:rsid w:val="005C277F"/>
    <w:rsid w:val="005C35A0"/>
    <w:rsid w:val="005C44D9"/>
    <w:rsid w:val="005C5B9C"/>
    <w:rsid w:val="005C7195"/>
    <w:rsid w:val="005C7986"/>
    <w:rsid w:val="005D2A31"/>
    <w:rsid w:val="005D618E"/>
    <w:rsid w:val="005E41E0"/>
    <w:rsid w:val="005E7273"/>
    <w:rsid w:val="005F184E"/>
    <w:rsid w:val="005F44C5"/>
    <w:rsid w:val="005F592D"/>
    <w:rsid w:val="0060098C"/>
    <w:rsid w:val="0060186D"/>
    <w:rsid w:val="00601AF3"/>
    <w:rsid w:val="006038FC"/>
    <w:rsid w:val="0060451B"/>
    <w:rsid w:val="00604BAA"/>
    <w:rsid w:val="0060759C"/>
    <w:rsid w:val="006078B1"/>
    <w:rsid w:val="00610FD9"/>
    <w:rsid w:val="00611EDA"/>
    <w:rsid w:val="00613F6B"/>
    <w:rsid w:val="0062248D"/>
    <w:rsid w:val="006239DF"/>
    <w:rsid w:val="00623CC4"/>
    <w:rsid w:val="0062657D"/>
    <w:rsid w:val="00627A0B"/>
    <w:rsid w:val="00631C61"/>
    <w:rsid w:val="00633795"/>
    <w:rsid w:val="00633FF5"/>
    <w:rsid w:val="00635310"/>
    <w:rsid w:val="006403FC"/>
    <w:rsid w:val="00641ADD"/>
    <w:rsid w:val="00645E4C"/>
    <w:rsid w:val="00647F1D"/>
    <w:rsid w:val="0065221C"/>
    <w:rsid w:val="00652FE8"/>
    <w:rsid w:val="006542D6"/>
    <w:rsid w:val="00656180"/>
    <w:rsid w:val="00656EF8"/>
    <w:rsid w:val="00661942"/>
    <w:rsid w:val="00661E5A"/>
    <w:rsid w:val="00663701"/>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A3962"/>
    <w:rsid w:val="006A46B2"/>
    <w:rsid w:val="006A4963"/>
    <w:rsid w:val="006A5CC2"/>
    <w:rsid w:val="006B469E"/>
    <w:rsid w:val="006B7398"/>
    <w:rsid w:val="006B7CA6"/>
    <w:rsid w:val="006C0765"/>
    <w:rsid w:val="006C1FEE"/>
    <w:rsid w:val="006C500F"/>
    <w:rsid w:val="006D2120"/>
    <w:rsid w:val="006D3558"/>
    <w:rsid w:val="006D6EA5"/>
    <w:rsid w:val="006D7E6A"/>
    <w:rsid w:val="006E2CDA"/>
    <w:rsid w:val="006E6FF9"/>
    <w:rsid w:val="006E742D"/>
    <w:rsid w:val="006F6F00"/>
    <w:rsid w:val="007008BF"/>
    <w:rsid w:val="0070162E"/>
    <w:rsid w:val="00703884"/>
    <w:rsid w:val="0070506F"/>
    <w:rsid w:val="0070617C"/>
    <w:rsid w:val="007070F0"/>
    <w:rsid w:val="007154B3"/>
    <w:rsid w:val="00716A64"/>
    <w:rsid w:val="0071719B"/>
    <w:rsid w:val="007173A1"/>
    <w:rsid w:val="00722529"/>
    <w:rsid w:val="00723076"/>
    <w:rsid w:val="00723246"/>
    <w:rsid w:val="00723B25"/>
    <w:rsid w:val="00724411"/>
    <w:rsid w:val="00727D87"/>
    <w:rsid w:val="007338C9"/>
    <w:rsid w:val="007361B1"/>
    <w:rsid w:val="007457C2"/>
    <w:rsid w:val="007462DF"/>
    <w:rsid w:val="0074738A"/>
    <w:rsid w:val="00753C68"/>
    <w:rsid w:val="00755175"/>
    <w:rsid w:val="00757391"/>
    <w:rsid w:val="00762612"/>
    <w:rsid w:val="00762B76"/>
    <w:rsid w:val="00763478"/>
    <w:rsid w:val="007640DD"/>
    <w:rsid w:val="00764914"/>
    <w:rsid w:val="00764E0F"/>
    <w:rsid w:val="00766C59"/>
    <w:rsid w:val="007672CC"/>
    <w:rsid w:val="0077229B"/>
    <w:rsid w:val="00773A55"/>
    <w:rsid w:val="007776CD"/>
    <w:rsid w:val="0078111A"/>
    <w:rsid w:val="00783A6E"/>
    <w:rsid w:val="00784B78"/>
    <w:rsid w:val="00786AA8"/>
    <w:rsid w:val="007878D4"/>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5EC0"/>
    <w:rsid w:val="007C7506"/>
    <w:rsid w:val="007D1EA5"/>
    <w:rsid w:val="007D5DB3"/>
    <w:rsid w:val="007D6D53"/>
    <w:rsid w:val="007F4A49"/>
    <w:rsid w:val="007F6D17"/>
    <w:rsid w:val="007F6F9E"/>
    <w:rsid w:val="00805D71"/>
    <w:rsid w:val="0080655F"/>
    <w:rsid w:val="008065ED"/>
    <w:rsid w:val="008079BE"/>
    <w:rsid w:val="00813FA9"/>
    <w:rsid w:val="00814B73"/>
    <w:rsid w:val="008160F6"/>
    <w:rsid w:val="00817430"/>
    <w:rsid w:val="00817460"/>
    <w:rsid w:val="00820355"/>
    <w:rsid w:val="00822CA9"/>
    <w:rsid w:val="00823FFC"/>
    <w:rsid w:val="00824049"/>
    <w:rsid w:val="008258A5"/>
    <w:rsid w:val="008259A9"/>
    <w:rsid w:val="008279E3"/>
    <w:rsid w:val="0083055C"/>
    <w:rsid w:val="00831C5D"/>
    <w:rsid w:val="00832B1C"/>
    <w:rsid w:val="00833BFD"/>
    <w:rsid w:val="00836CD2"/>
    <w:rsid w:val="00841265"/>
    <w:rsid w:val="00843C57"/>
    <w:rsid w:val="00845516"/>
    <w:rsid w:val="008473FD"/>
    <w:rsid w:val="00847761"/>
    <w:rsid w:val="00851223"/>
    <w:rsid w:val="0085378C"/>
    <w:rsid w:val="00854A8E"/>
    <w:rsid w:val="00856868"/>
    <w:rsid w:val="008568A3"/>
    <w:rsid w:val="00860227"/>
    <w:rsid w:val="00860A57"/>
    <w:rsid w:val="00865103"/>
    <w:rsid w:val="008673FB"/>
    <w:rsid w:val="008729F9"/>
    <w:rsid w:val="0088014F"/>
    <w:rsid w:val="00880F0A"/>
    <w:rsid w:val="00881D0B"/>
    <w:rsid w:val="00882604"/>
    <w:rsid w:val="008839E3"/>
    <w:rsid w:val="008864B6"/>
    <w:rsid w:val="008878F4"/>
    <w:rsid w:val="0089007B"/>
    <w:rsid w:val="008923EA"/>
    <w:rsid w:val="008965FE"/>
    <w:rsid w:val="008A08BD"/>
    <w:rsid w:val="008A2DCF"/>
    <w:rsid w:val="008A3D1C"/>
    <w:rsid w:val="008A7193"/>
    <w:rsid w:val="008A7209"/>
    <w:rsid w:val="008B1116"/>
    <w:rsid w:val="008B117D"/>
    <w:rsid w:val="008B26C9"/>
    <w:rsid w:val="008B54EB"/>
    <w:rsid w:val="008C10D9"/>
    <w:rsid w:val="008D1678"/>
    <w:rsid w:val="008D2D0A"/>
    <w:rsid w:val="008D394A"/>
    <w:rsid w:val="008D4A94"/>
    <w:rsid w:val="008D4C91"/>
    <w:rsid w:val="008D516F"/>
    <w:rsid w:val="008D529D"/>
    <w:rsid w:val="008D5F44"/>
    <w:rsid w:val="008E10D4"/>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108AE"/>
    <w:rsid w:val="009239B2"/>
    <w:rsid w:val="00925331"/>
    <w:rsid w:val="00927C2B"/>
    <w:rsid w:val="009322EE"/>
    <w:rsid w:val="00941BF5"/>
    <w:rsid w:val="009431E6"/>
    <w:rsid w:val="00947165"/>
    <w:rsid w:val="00947290"/>
    <w:rsid w:val="009476F0"/>
    <w:rsid w:val="0095024D"/>
    <w:rsid w:val="00951C77"/>
    <w:rsid w:val="009540A3"/>
    <w:rsid w:val="00956959"/>
    <w:rsid w:val="00956BD3"/>
    <w:rsid w:val="00957B31"/>
    <w:rsid w:val="00957FDD"/>
    <w:rsid w:val="00960205"/>
    <w:rsid w:val="0096250C"/>
    <w:rsid w:val="00964083"/>
    <w:rsid w:val="009703B6"/>
    <w:rsid w:val="00971F12"/>
    <w:rsid w:val="0097462D"/>
    <w:rsid w:val="009747B0"/>
    <w:rsid w:val="00975C05"/>
    <w:rsid w:val="009766B9"/>
    <w:rsid w:val="009827C3"/>
    <w:rsid w:val="009832DD"/>
    <w:rsid w:val="0099108D"/>
    <w:rsid w:val="00993B55"/>
    <w:rsid w:val="00994583"/>
    <w:rsid w:val="009947FE"/>
    <w:rsid w:val="00994B2F"/>
    <w:rsid w:val="009A0588"/>
    <w:rsid w:val="009A2E02"/>
    <w:rsid w:val="009A3B1C"/>
    <w:rsid w:val="009A5B14"/>
    <w:rsid w:val="009B0151"/>
    <w:rsid w:val="009B6743"/>
    <w:rsid w:val="009B7A17"/>
    <w:rsid w:val="009C1A53"/>
    <w:rsid w:val="009C216A"/>
    <w:rsid w:val="009C282D"/>
    <w:rsid w:val="009C2A4D"/>
    <w:rsid w:val="009C3201"/>
    <w:rsid w:val="009C4542"/>
    <w:rsid w:val="009D06F1"/>
    <w:rsid w:val="009D22F3"/>
    <w:rsid w:val="009D4549"/>
    <w:rsid w:val="009D4DAC"/>
    <w:rsid w:val="009D4EEF"/>
    <w:rsid w:val="009D51D1"/>
    <w:rsid w:val="009D758D"/>
    <w:rsid w:val="009E2C14"/>
    <w:rsid w:val="009E2F1C"/>
    <w:rsid w:val="009E51CE"/>
    <w:rsid w:val="009E574D"/>
    <w:rsid w:val="009E646C"/>
    <w:rsid w:val="009F0750"/>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3232"/>
    <w:rsid w:val="00A43B24"/>
    <w:rsid w:val="00A43ED8"/>
    <w:rsid w:val="00A46351"/>
    <w:rsid w:val="00A5492D"/>
    <w:rsid w:val="00A553C4"/>
    <w:rsid w:val="00A572E3"/>
    <w:rsid w:val="00A619FB"/>
    <w:rsid w:val="00A62E52"/>
    <w:rsid w:val="00A66338"/>
    <w:rsid w:val="00A66B78"/>
    <w:rsid w:val="00A7047E"/>
    <w:rsid w:val="00A727E6"/>
    <w:rsid w:val="00A747A0"/>
    <w:rsid w:val="00A74BC6"/>
    <w:rsid w:val="00A75197"/>
    <w:rsid w:val="00A8026B"/>
    <w:rsid w:val="00A82ECA"/>
    <w:rsid w:val="00A849E6"/>
    <w:rsid w:val="00A86465"/>
    <w:rsid w:val="00A9001A"/>
    <w:rsid w:val="00A90791"/>
    <w:rsid w:val="00A96607"/>
    <w:rsid w:val="00AA2587"/>
    <w:rsid w:val="00AA2F32"/>
    <w:rsid w:val="00AA31C2"/>
    <w:rsid w:val="00AA3D38"/>
    <w:rsid w:val="00AA409F"/>
    <w:rsid w:val="00AA7119"/>
    <w:rsid w:val="00AA79B2"/>
    <w:rsid w:val="00AB0875"/>
    <w:rsid w:val="00AB3C0D"/>
    <w:rsid w:val="00AC1278"/>
    <w:rsid w:val="00AC329D"/>
    <w:rsid w:val="00AC47DB"/>
    <w:rsid w:val="00AC6E0B"/>
    <w:rsid w:val="00AC76AD"/>
    <w:rsid w:val="00AD5A04"/>
    <w:rsid w:val="00AE0D65"/>
    <w:rsid w:val="00AE3E19"/>
    <w:rsid w:val="00AE560A"/>
    <w:rsid w:val="00AE57E1"/>
    <w:rsid w:val="00AE67B5"/>
    <w:rsid w:val="00AE67D0"/>
    <w:rsid w:val="00AE6807"/>
    <w:rsid w:val="00AF270E"/>
    <w:rsid w:val="00AF51C9"/>
    <w:rsid w:val="00AF601A"/>
    <w:rsid w:val="00B031E6"/>
    <w:rsid w:val="00B04A10"/>
    <w:rsid w:val="00B127CB"/>
    <w:rsid w:val="00B1611A"/>
    <w:rsid w:val="00B16C49"/>
    <w:rsid w:val="00B170AF"/>
    <w:rsid w:val="00B218AF"/>
    <w:rsid w:val="00B23830"/>
    <w:rsid w:val="00B247B4"/>
    <w:rsid w:val="00B308FD"/>
    <w:rsid w:val="00B33389"/>
    <w:rsid w:val="00B40174"/>
    <w:rsid w:val="00B416DC"/>
    <w:rsid w:val="00B4491E"/>
    <w:rsid w:val="00B52F0F"/>
    <w:rsid w:val="00B53F17"/>
    <w:rsid w:val="00B651F2"/>
    <w:rsid w:val="00B65552"/>
    <w:rsid w:val="00B67D2F"/>
    <w:rsid w:val="00B76173"/>
    <w:rsid w:val="00B80F47"/>
    <w:rsid w:val="00B83D7C"/>
    <w:rsid w:val="00B872B9"/>
    <w:rsid w:val="00B873A7"/>
    <w:rsid w:val="00B907B1"/>
    <w:rsid w:val="00B9450C"/>
    <w:rsid w:val="00B947E2"/>
    <w:rsid w:val="00B95AEF"/>
    <w:rsid w:val="00B96FDF"/>
    <w:rsid w:val="00B974BC"/>
    <w:rsid w:val="00B97B5B"/>
    <w:rsid w:val="00BA1B91"/>
    <w:rsid w:val="00BA1E90"/>
    <w:rsid w:val="00BA7630"/>
    <w:rsid w:val="00BA7C6F"/>
    <w:rsid w:val="00BB7AEF"/>
    <w:rsid w:val="00BC2743"/>
    <w:rsid w:val="00BC324F"/>
    <w:rsid w:val="00BC3D73"/>
    <w:rsid w:val="00BC3EEF"/>
    <w:rsid w:val="00BC466F"/>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F0817"/>
    <w:rsid w:val="00BF5004"/>
    <w:rsid w:val="00BF51B0"/>
    <w:rsid w:val="00BF6262"/>
    <w:rsid w:val="00BF724F"/>
    <w:rsid w:val="00C0044A"/>
    <w:rsid w:val="00C01579"/>
    <w:rsid w:val="00C02835"/>
    <w:rsid w:val="00C030C3"/>
    <w:rsid w:val="00C07485"/>
    <w:rsid w:val="00C078BF"/>
    <w:rsid w:val="00C1381F"/>
    <w:rsid w:val="00C15B38"/>
    <w:rsid w:val="00C20B3A"/>
    <w:rsid w:val="00C23142"/>
    <w:rsid w:val="00C27E30"/>
    <w:rsid w:val="00C31BDB"/>
    <w:rsid w:val="00C32823"/>
    <w:rsid w:val="00C33CBD"/>
    <w:rsid w:val="00C34925"/>
    <w:rsid w:val="00C370AB"/>
    <w:rsid w:val="00C42036"/>
    <w:rsid w:val="00C440FC"/>
    <w:rsid w:val="00C47E18"/>
    <w:rsid w:val="00C502CC"/>
    <w:rsid w:val="00C536EA"/>
    <w:rsid w:val="00C53D78"/>
    <w:rsid w:val="00C54D3D"/>
    <w:rsid w:val="00C6114B"/>
    <w:rsid w:val="00C627DD"/>
    <w:rsid w:val="00C6496F"/>
    <w:rsid w:val="00C65766"/>
    <w:rsid w:val="00C67614"/>
    <w:rsid w:val="00C707E0"/>
    <w:rsid w:val="00C70978"/>
    <w:rsid w:val="00C723D1"/>
    <w:rsid w:val="00C747D7"/>
    <w:rsid w:val="00C77125"/>
    <w:rsid w:val="00C77715"/>
    <w:rsid w:val="00C8256C"/>
    <w:rsid w:val="00C834F2"/>
    <w:rsid w:val="00C86398"/>
    <w:rsid w:val="00C87192"/>
    <w:rsid w:val="00C91FB9"/>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FF1"/>
    <w:rsid w:val="00CC2094"/>
    <w:rsid w:val="00CC25B3"/>
    <w:rsid w:val="00CC4D84"/>
    <w:rsid w:val="00CC5B4D"/>
    <w:rsid w:val="00CC6D5E"/>
    <w:rsid w:val="00CD3F85"/>
    <w:rsid w:val="00CE0563"/>
    <w:rsid w:val="00CE3B21"/>
    <w:rsid w:val="00CF03D0"/>
    <w:rsid w:val="00CF06FF"/>
    <w:rsid w:val="00CF1360"/>
    <w:rsid w:val="00CF166B"/>
    <w:rsid w:val="00CF3A89"/>
    <w:rsid w:val="00CF3D13"/>
    <w:rsid w:val="00CF4FF0"/>
    <w:rsid w:val="00D029E0"/>
    <w:rsid w:val="00D03064"/>
    <w:rsid w:val="00D074AB"/>
    <w:rsid w:val="00D112AC"/>
    <w:rsid w:val="00D144BF"/>
    <w:rsid w:val="00D17872"/>
    <w:rsid w:val="00D21B21"/>
    <w:rsid w:val="00D21F21"/>
    <w:rsid w:val="00D23743"/>
    <w:rsid w:val="00D2472D"/>
    <w:rsid w:val="00D25E1A"/>
    <w:rsid w:val="00D2630C"/>
    <w:rsid w:val="00D2687B"/>
    <w:rsid w:val="00D308CA"/>
    <w:rsid w:val="00D32B2A"/>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6025B"/>
    <w:rsid w:val="00D61400"/>
    <w:rsid w:val="00D6194B"/>
    <w:rsid w:val="00D63247"/>
    <w:rsid w:val="00D63922"/>
    <w:rsid w:val="00D7050F"/>
    <w:rsid w:val="00D712A2"/>
    <w:rsid w:val="00D71396"/>
    <w:rsid w:val="00D72529"/>
    <w:rsid w:val="00D726A1"/>
    <w:rsid w:val="00D73F1E"/>
    <w:rsid w:val="00D75CFB"/>
    <w:rsid w:val="00D75E46"/>
    <w:rsid w:val="00D82623"/>
    <w:rsid w:val="00D84CE4"/>
    <w:rsid w:val="00D8673D"/>
    <w:rsid w:val="00D87241"/>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380E"/>
    <w:rsid w:val="00DC41EF"/>
    <w:rsid w:val="00DC57A0"/>
    <w:rsid w:val="00DC5CF0"/>
    <w:rsid w:val="00DD2A23"/>
    <w:rsid w:val="00DD55B6"/>
    <w:rsid w:val="00DD619D"/>
    <w:rsid w:val="00DD687F"/>
    <w:rsid w:val="00DE0A9C"/>
    <w:rsid w:val="00DE0FEE"/>
    <w:rsid w:val="00DE307B"/>
    <w:rsid w:val="00DE3218"/>
    <w:rsid w:val="00DE5E6B"/>
    <w:rsid w:val="00DE7C61"/>
    <w:rsid w:val="00DF3678"/>
    <w:rsid w:val="00DF6274"/>
    <w:rsid w:val="00DF781C"/>
    <w:rsid w:val="00E026B9"/>
    <w:rsid w:val="00E07F1C"/>
    <w:rsid w:val="00E15396"/>
    <w:rsid w:val="00E23667"/>
    <w:rsid w:val="00E23FB0"/>
    <w:rsid w:val="00E24AA8"/>
    <w:rsid w:val="00E2792A"/>
    <w:rsid w:val="00E3072E"/>
    <w:rsid w:val="00E30E86"/>
    <w:rsid w:val="00E327B3"/>
    <w:rsid w:val="00E33471"/>
    <w:rsid w:val="00E344D8"/>
    <w:rsid w:val="00E34E64"/>
    <w:rsid w:val="00E36F1F"/>
    <w:rsid w:val="00E3724F"/>
    <w:rsid w:val="00E4177B"/>
    <w:rsid w:val="00E42250"/>
    <w:rsid w:val="00E42452"/>
    <w:rsid w:val="00E4357B"/>
    <w:rsid w:val="00E43B29"/>
    <w:rsid w:val="00E44FB3"/>
    <w:rsid w:val="00E47670"/>
    <w:rsid w:val="00E47959"/>
    <w:rsid w:val="00E526E9"/>
    <w:rsid w:val="00E61D4D"/>
    <w:rsid w:val="00E61FFD"/>
    <w:rsid w:val="00E65983"/>
    <w:rsid w:val="00E6664C"/>
    <w:rsid w:val="00E671AA"/>
    <w:rsid w:val="00E71A6A"/>
    <w:rsid w:val="00E71DDC"/>
    <w:rsid w:val="00E758DC"/>
    <w:rsid w:val="00E76D13"/>
    <w:rsid w:val="00E8133C"/>
    <w:rsid w:val="00E834EC"/>
    <w:rsid w:val="00E85386"/>
    <w:rsid w:val="00E86D4C"/>
    <w:rsid w:val="00E877EE"/>
    <w:rsid w:val="00E953DD"/>
    <w:rsid w:val="00E96C48"/>
    <w:rsid w:val="00E972F7"/>
    <w:rsid w:val="00EA7B3D"/>
    <w:rsid w:val="00EB184D"/>
    <w:rsid w:val="00EB5073"/>
    <w:rsid w:val="00EB781B"/>
    <w:rsid w:val="00EC2A34"/>
    <w:rsid w:val="00EC4403"/>
    <w:rsid w:val="00EC7657"/>
    <w:rsid w:val="00ED13D6"/>
    <w:rsid w:val="00ED1DE9"/>
    <w:rsid w:val="00ED27FE"/>
    <w:rsid w:val="00EE2292"/>
    <w:rsid w:val="00EE531D"/>
    <w:rsid w:val="00EE7741"/>
    <w:rsid w:val="00EF2818"/>
    <w:rsid w:val="00EF2CE8"/>
    <w:rsid w:val="00EF4C12"/>
    <w:rsid w:val="00EF7839"/>
    <w:rsid w:val="00F02CFB"/>
    <w:rsid w:val="00F06BB2"/>
    <w:rsid w:val="00F10349"/>
    <w:rsid w:val="00F11167"/>
    <w:rsid w:val="00F12421"/>
    <w:rsid w:val="00F124BC"/>
    <w:rsid w:val="00F137B7"/>
    <w:rsid w:val="00F13FBA"/>
    <w:rsid w:val="00F1517F"/>
    <w:rsid w:val="00F1741A"/>
    <w:rsid w:val="00F21A28"/>
    <w:rsid w:val="00F22C03"/>
    <w:rsid w:val="00F23117"/>
    <w:rsid w:val="00F2345E"/>
    <w:rsid w:val="00F23854"/>
    <w:rsid w:val="00F25292"/>
    <w:rsid w:val="00F26E9F"/>
    <w:rsid w:val="00F2754A"/>
    <w:rsid w:val="00F335C3"/>
    <w:rsid w:val="00F35B54"/>
    <w:rsid w:val="00F3634B"/>
    <w:rsid w:val="00F4028C"/>
    <w:rsid w:val="00F42F5D"/>
    <w:rsid w:val="00F47227"/>
    <w:rsid w:val="00F47F65"/>
    <w:rsid w:val="00F51A59"/>
    <w:rsid w:val="00F51ED1"/>
    <w:rsid w:val="00F530B4"/>
    <w:rsid w:val="00F53319"/>
    <w:rsid w:val="00F6070E"/>
    <w:rsid w:val="00F6300A"/>
    <w:rsid w:val="00F63B3F"/>
    <w:rsid w:val="00F6596B"/>
    <w:rsid w:val="00F70249"/>
    <w:rsid w:val="00F719C7"/>
    <w:rsid w:val="00F80D8F"/>
    <w:rsid w:val="00F82FF9"/>
    <w:rsid w:val="00F83D66"/>
    <w:rsid w:val="00F86251"/>
    <w:rsid w:val="00F927E2"/>
    <w:rsid w:val="00F96764"/>
    <w:rsid w:val="00F96F6F"/>
    <w:rsid w:val="00F97B64"/>
    <w:rsid w:val="00FA0EDA"/>
    <w:rsid w:val="00FA2B75"/>
    <w:rsid w:val="00FA35F4"/>
    <w:rsid w:val="00FA42BB"/>
    <w:rsid w:val="00FA5220"/>
    <w:rsid w:val="00FB0A48"/>
    <w:rsid w:val="00FB39F0"/>
    <w:rsid w:val="00FB3E7E"/>
    <w:rsid w:val="00FB609A"/>
    <w:rsid w:val="00FB616F"/>
    <w:rsid w:val="00FB6E06"/>
    <w:rsid w:val="00FC33FB"/>
    <w:rsid w:val="00FC59CC"/>
    <w:rsid w:val="00FC7B1E"/>
    <w:rsid w:val="00FD0F3D"/>
    <w:rsid w:val="00FD25E7"/>
    <w:rsid w:val="00FD355B"/>
    <w:rsid w:val="00FD3BE7"/>
    <w:rsid w:val="00FD3EBD"/>
    <w:rsid w:val="00FD477B"/>
    <w:rsid w:val="00FD5F33"/>
    <w:rsid w:val="00FD7859"/>
    <w:rsid w:val="00FE03A2"/>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D23743"/>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D23743"/>
    <w:rPr>
      <w:rFonts w:ascii="Palatino Linotype" w:eastAsiaTheme="majorEastAsia" w:hAnsi="Palatino Linotype" w:cs="Times New Roman (Headings CS)"/>
      <w:b/>
      <w:color w:val="000000"/>
      <w:spacing w:val="2"/>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character" w:customStyle="1" w:styleId="mord">
    <w:name w:val="mord"/>
    <w:basedOn w:val="DefaultParagraphFont"/>
    <w:rsid w:val="00111F28"/>
  </w:style>
  <w:style w:type="character" w:customStyle="1" w:styleId="vlist-s">
    <w:name w:val="vlist-s"/>
    <w:basedOn w:val="DefaultParagraphFont"/>
    <w:rsid w:val="00111F28"/>
  </w:style>
  <w:style w:type="character" w:customStyle="1" w:styleId="mrel">
    <w:name w:val="mrel"/>
    <w:basedOn w:val="DefaultParagraphFont"/>
    <w:rsid w:val="00111F28"/>
  </w:style>
  <w:style w:type="character" w:customStyle="1" w:styleId="mbin">
    <w:name w:val="mbin"/>
    <w:basedOn w:val="DefaultParagraphFont"/>
    <w:rsid w:val="00111F28"/>
  </w:style>
  <w:style w:type="character" w:styleId="PlaceholderText">
    <w:name w:val="Placeholder Text"/>
    <w:basedOn w:val="DefaultParagraphFont"/>
    <w:uiPriority w:val="99"/>
    <w:semiHidden/>
    <w:rsid w:val="00111F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472669">
      <w:bodyDiv w:val="1"/>
      <w:marLeft w:val="0"/>
      <w:marRight w:val="0"/>
      <w:marTop w:val="0"/>
      <w:marBottom w:val="0"/>
      <w:divBdr>
        <w:top w:val="none" w:sz="0" w:space="0" w:color="auto"/>
        <w:left w:val="none" w:sz="0" w:space="0" w:color="auto"/>
        <w:bottom w:val="none" w:sz="0" w:space="0" w:color="auto"/>
        <w:right w:val="none" w:sz="0" w:space="0" w:color="auto"/>
      </w:divBdr>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 w:id="210175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2864</TotalTime>
  <Pages>10</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Mike L</cp:lastModifiedBy>
  <cp:revision>10</cp:revision>
  <cp:lastPrinted>2019-05-10T20:56:00Z</cp:lastPrinted>
  <dcterms:created xsi:type="dcterms:W3CDTF">2021-10-21T02:30:00Z</dcterms:created>
  <dcterms:modified xsi:type="dcterms:W3CDTF">2021-10-23T02:12:00Z</dcterms:modified>
</cp:coreProperties>
</file>