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F3A" w:rsidRPr="002F2F3A" w:rsidRDefault="002F2F3A" w:rsidP="002F2F3A">
      <w:pPr>
        <w:jc w:val="center"/>
        <w:rPr>
          <w:rFonts w:ascii="Times New Roman" w:hAnsi="Times New Roman" w:cs="Times New Roman"/>
          <w:sz w:val="32"/>
          <w:u w:val="single"/>
        </w:rPr>
      </w:pPr>
      <w:r w:rsidRPr="002F2F3A">
        <w:rPr>
          <w:rFonts w:ascii="Times New Roman" w:hAnsi="Times New Roman" w:cs="Times New Roman"/>
          <w:sz w:val="32"/>
          <w:u w:val="single"/>
        </w:rPr>
        <w:t>Project Report</w:t>
      </w:r>
    </w:p>
    <w:p w:rsidR="002F2F3A" w:rsidRDefault="002F2F3A" w:rsidP="002F2F3A">
      <w:pPr>
        <w:jc w:val="center"/>
        <w:rPr>
          <w:rFonts w:ascii="Times New Roman" w:hAnsi="Times New Roman" w:cs="Times New Roman"/>
          <w:sz w:val="24"/>
        </w:rPr>
      </w:pPr>
      <w:r w:rsidRPr="002F2F3A">
        <w:rPr>
          <w:rFonts w:ascii="Times New Roman" w:hAnsi="Times New Roman" w:cs="Times New Roman"/>
          <w:sz w:val="24"/>
        </w:rPr>
        <w:t>Matthew Williams</w:t>
      </w:r>
    </w:p>
    <w:p w:rsidR="002F2F3A" w:rsidRDefault="002F2F3A" w:rsidP="002F2F3A">
      <w:pPr>
        <w:rPr>
          <w:rFonts w:ascii="Times New Roman" w:hAnsi="Times New Roman" w:cs="Times New Roman"/>
          <w:sz w:val="24"/>
        </w:rPr>
      </w:pPr>
      <w:r w:rsidRPr="000A6CD5">
        <w:rPr>
          <w:rFonts w:ascii="Times New Roman" w:hAnsi="Times New Roman" w:cs="Times New Roman"/>
          <w:b/>
          <w:sz w:val="24"/>
          <w:u w:val="single"/>
        </w:rPr>
        <w:t>Average Turnaround:</w:t>
      </w:r>
      <w:r>
        <w:rPr>
          <w:rFonts w:ascii="Times New Roman" w:hAnsi="Times New Roman" w:cs="Times New Roman"/>
          <w:sz w:val="24"/>
        </w:rPr>
        <w:t xml:space="preserve"> There are two things that stand out here. First is the massive jump that RR 0.01 has over everything else. The second thing is the early jump that RR 0.2 has. The second one can be attributed to some error in the code, I believe since it happens every time I run lambda of 4. The first one though must be attributed to the fact that the quantum is so small while the ready queue fills up meaning it will take longer and longer for a process to finish, even with a small service time. Could also be an error on my side since we know RR 0.2 has </w:t>
      </w:r>
      <w:proofErr w:type="gramStart"/>
      <w:r>
        <w:rPr>
          <w:rFonts w:ascii="Times New Roman" w:hAnsi="Times New Roman" w:cs="Times New Roman"/>
          <w:sz w:val="24"/>
        </w:rPr>
        <w:t>one.</w:t>
      </w:r>
      <w:proofErr w:type="gramEnd"/>
      <w:r>
        <w:rPr>
          <w:rFonts w:ascii="Times New Roman" w:hAnsi="Times New Roman" w:cs="Times New Roman"/>
          <w:sz w:val="24"/>
        </w:rPr>
        <w:t xml:space="preserve"> The rest of the schedulers generally increase in turnaround except for STRF. I think that makes sense given that the smaller jobs will go first which might skew the </w:t>
      </w:r>
      <w:r w:rsidR="000A6CD5">
        <w:rPr>
          <w:rFonts w:ascii="Times New Roman" w:hAnsi="Times New Roman" w:cs="Times New Roman"/>
          <w:sz w:val="24"/>
        </w:rPr>
        <w:t xml:space="preserve">data </w:t>
      </w:r>
      <w:r>
        <w:rPr>
          <w:rFonts w:ascii="Times New Roman" w:hAnsi="Times New Roman" w:cs="Times New Roman"/>
          <w:sz w:val="24"/>
        </w:rPr>
        <w:t>towards a smaller turnaround.</w:t>
      </w:r>
    </w:p>
    <w:p w:rsidR="00D72716" w:rsidRDefault="00D72716" w:rsidP="002F2F3A">
      <w:pPr>
        <w:rPr>
          <w:rFonts w:ascii="Times New Roman" w:hAnsi="Times New Roman" w:cs="Times New Roman"/>
          <w:sz w:val="24"/>
        </w:rPr>
      </w:pPr>
      <w:r>
        <w:rPr>
          <w:noProof/>
        </w:rPr>
        <w:drawing>
          <wp:inline distT="0" distB="0" distL="0" distR="0" wp14:anchorId="3A9571F3" wp14:editId="0F35157A">
            <wp:extent cx="5753100" cy="33337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63DB2" w:rsidRDefault="00B63DB2" w:rsidP="002F2F3A">
      <w:pPr>
        <w:rPr>
          <w:rFonts w:ascii="Times New Roman" w:hAnsi="Times New Roman" w:cs="Times New Roman"/>
          <w:sz w:val="24"/>
        </w:rPr>
      </w:pPr>
      <w:r w:rsidRPr="000272EB">
        <w:rPr>
          <w:rFonts w:ascii="Times New Roman" w:hAnsi="Times New Roman" w:cs="Times New Roman"/>
          <w:b/>
          <w:sz w:val="24"/>
          <w:u w:val="single"/>
        </w:rPr>
        <w:t>Total Throughput:</w:t>
      </w:r>
      <w:r>
        <w:rPr>
          <w:rFonts w:ascii="Times New Roman" w:hAnsi="Times New Roman" w:cs="Times New Roman"/>
          <w:sz w:val="24"/>
        </w:rPr>
        <w:t xml:space="preserve"> I think this graph is most interesting one I made. This one more clearly shows the differences between the schedulers. It appears that having a higher quantum decreases the efficiency very early one, relative to the service time. The lower quantum makes it much further than the higher one before it bogs down. This goes along with an increase in queue size.</w:t>
      </w:r>
      <w:r w:rsidR="00FC08C3">
        <w:rPr>
          <w:rFonts w:ascii="Times New Roman" w:hAnsi="Times New Roman" w:cs="Times New Roman"/>
          <w:sz w:val="24"/>
        </w:rPr>
        <w:t xml:space="preserve"> Surprisingly FCFS and HRRN output more processes. This makes me wonder if something went wrong in the code (other than the fact that they are the exact same).</w:t>
      </w:r>
      <w:r w:rsidR="00EA0603">
        <w:rPr>
          <w:rFonts w:ascii="Times New Roman" w:hAnsi="Times New Roman" w:cs="Times New Roman"/>
          <w:sz w:val="24"/>
        </w:rPr>
        <w:t xml:space="preserve"> Finally STRF has a roughly linear growth which appears to be about the same as its ready queue growth.</w:t>
      </w:r>
    </w:p>
    <w:p w:rsidR="00B63DB2" w:rsidRDefault="00B63DB2" w:rsidP="002F2F3A">
      <w:pPr>
        <w:rPr>
          <w:rFonts w:ascii="Times New Roman" w:hAnsi="Times New Roman" w:cs="Times New Roman"/>
          <w:sz w:val="24"/>
        </w:rPr>
      </w:pPr>
      <w:r>
        <w:rPr>
          <w:noProof/>
        </w:rPr>
        <w:lastRenderedPageBreak/>
        <w:drawing>
          <wp:inline distT="0" distB="0" distL="0" distR="0" wp14:anchorId="32923262" wp14:editId="38DE5C74">
            <wp:extent cx="5943600" cy="4206240"/>
            <wp:effectExtent l="0" t="0" r="1905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272EB" w:rsidRDefault="000272EB" w:rsidP="002F2F3A">
      <w:pPr>
        <w:rPr>
          <w:rFonts w:ascii="Times New Roman" w:hAnsi="Times New Roman" w:cs="Times New Roman"/>
          <w:sz w:val="24"/>
        </w:rPr>
      </w:pPr>
      <w:r w:rsidRPr="000272EB">
        <w:rPr>
          <w:rFonts w:ascii="Times New Roman" w:hAnsi="Times New Roman" w:cs="Times New Roman"/>
          <w:b/>
          <w:sz w:val="24"/>
          <w:u w:val="single"/>
        </w:rPr>
        <w:t>CPU Utilization:</w:t>
      </w:r>
      <w:r>
        <w:rPr>
          <w:rFonts w:ascii="Times New Roman" w:hAnsi="Times New Roman" w:cs="Times New Roman"/>
          <w:sz w:val="24"/>
        </w:rPr>
        <w:t xml:space="preserve"> This one is pretty cut and dry. All the processes have to same utilization, but that is no surprise given that we calculated lambda * service time for them all and they all had the same values of lambda and service time.</w:t>
      </w:r>
    </w:p>
    <w:p w:rsidR="000272EB" w:rsidRDefault="000272EB" w:rsidP="002F2F3A">
      <w:pPr>
        <w:rPr>
          <w:rFonts w:ascii="Times New Roman" w:hAnsi="Times New Roman" w:cs="Times New Roman"/>
          <w:sz w:val="24"/>
        </w:rPr>
      </w:pPr>
      <w:r>
        <w:rPr>
          <w:noProof/>
        </w:rPr>
        <w:drawing>
          <wp:inline distT="0" distB="0" distL="0" distR="0" wp14:anchorId="3F700AF4" wp14:editId="48730EE8">
            <wp:extent cx="5010150" cy="2905125"/>
            <wp:effectExtent l="0" t="0" r="1905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272EB" w:rsidRDefault="000272EB" w:rsidP="002F2F3A">
      <w:pPr>
        <w:rPr>
          <w:rFonts w:ascii="Times New Roman" w:hAnsi="Times New Roman" w:cs="Times New Roman"/>
          <w:sz w:val="24"/>
        </w:rPr>
      </w:pPr>
      <w:r w:rsidRPr="00EB00A7">
        <w:rPr>
          <w:rFonts w:ascii="Times New Roman" w:hAnsi="Times New Roman" w:cs="Times New Roman"/>
          <w:b/>
          <w:sz w:val="24"/>
          <w:u w:val="single"/>
        </w:rPr>
        <w:lastRenderedPageBreak/>
        <w:t>Average Ready Queue Size:</w:t>
      </w:r>
      <w:r>
        <w:rPr>
          <w:rFonts w:ascii="Times New Roman" w:hAnsi="Times New Roman" w:cs="Times New Roman"/>
          <w:sz w:val="24"/>
        </w:rPr>
        <w:t xml:space="preserve"> This is the last graph has mainly one thing sticking out: The size of the ready queue for RR 0.2. This value starts increasing very fast early on. In fact I didn’t even include the last four values of lambda for it since it increased so much. I guess this makes since given that it is basically like FCFS with the quantum size, but the newest process will go first. RR 0.01 shows much slower growth, but it is still the second highest. STRF still shows small increases in its growth. FCFS and HRRN again show the same behavior for some reason and have the lowest average queue size. The data could be skewed due to how I process new arrivals.</w:t>
      </w:r>
    </w:p>
    <w:p w:rsidR="005C64BC" w:rsidRDefault="005C64BC" w:rsidP="002F2F3A">
      <w:pPr>
        <w:rPr>
          <w:rFonts w:ascii="Times New Roman" w:hAnsi="Times New Roman" w:cs="Times New Roman"/>
          <w:sz w:val="24"/>
        </w:rPr>
      </w:pPr>
      <w:r>
        <w:rPr>
          <w:noProof/>
        </w:rPr>
        <w:drawing>
          <wp:inline distT="0" distB="0" distL="0" distR="0" wp14:anchorId="2961AE21" wp14:editId="318043D4">
            <wp:extent cx="5943600" cy="4206240"/>
            <wp:effectExtent l="0" t="0" r="19050" b="228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B00A7" w:rsidRPr="002F2F3A" w:rsidRDefault="00EB00A7" w:rsidP="002F2F3A">
      <w:pPr>
        <w:rPr>
          <w:rFonts w:ascii="Times New Roman" w:hAnsi="Times New Roman" w:cs="Times New Roman"/>
          <w:sz w:val="24"/>
        </w:rPr>
      </w:pPr>
      <w:r w:rsidRPr="00E17835">
        <w:rPr>
          <w:rFonts w:ascii="Times New Roman" w:hAnsi="Times New Roman" w:cs="Times New Roman"/>
          <w:b/>
          <w:sz w:val="24"/>
          <w:u w:val="single"/>
        </w:rPr>
        <w:t>Conclusion:</w:t>
      </w:r>
      <w:r>
        <w:rPr>
          <w:rFonts w:ascii="Times New Roman" w:hAnsi="Times New Roman" w:cs="Times New Roman"/>
          <w:sz w:val="24"/>
        </w:rPr>
        <w:t xml:space="preserve"> Based on my data (which I am not feeling so good about now) both FCFS and HRRN seem to be the best schedulers. Maybe it has to do with the service time of the data or how I handle arrivals in my code or even possibly how I collect the data.</w:t>
      </w:r>
      <w:r w:rsidR="00E17835">
        <w:rPr>
          <w:rFonts w:ascii="Times New Roman" w:hAnsi="Times New Roman" w:cs="Times New Roman"/>
          <w:sz w:val="24"/>
        </w:rPr>
        <w:t xml:space="preserve"> While playing around with the data I have noticed that the higher the service time the more the schedulers begin the swap their rankings, but that does not rule out errors.</w:t>
      </w:r>
      <w:bookmarkStart w:id="0" w:name="_GoBack"/>
      <w:bookmarkEnd w:id="0"/>
    </w:p>
    <w:sectPr w:rsidR="00EB00A7" w:rsidRPr="002F2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167"/>
    <w:rsid w:val="000272EB"/>
    <w:rsid w:val="000A6CD5"/>
    <w:rsid w:val="002F2F3A"/>
    <w:rsid w:val="003F7940"/>
    <w:rsid w:val="005C64BC"/>
    <w:rsid w:val="00B63DB2"/>
    <w:rsid w:val="00B93D39"/>
    <w:rsid w:val="00D72716"/>
    <w:rsid w:val="00E10A3B"/>
    <w:rsid w:val="00E17835"/>
    <w:rsid w:val="00EA0603"/>
    <w:rsid w:val="00EB00A7"/>
    <w:rsid w:val="00FA6167"/>
    <w:rsid w:val="00FC0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2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7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2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7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e2106\Documents\School\Operating%20Systems\data.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e2106\Documents\School\Operating%20Systems\data.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e2106\Documents\School\Operating%20Systems\data.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e2106\Documents\School\Operating%20Systems\dat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Average</a:t>
            </a:r>
            <a:r>
              <a:rPr lang="en-US" baseline="0"/>
              <a:t> Turnaround</a:t>
            </a:r>
            <a:endParaRPr lang="en-US"/>
          </a:p>
        </c:rich>
      </c:tx>
      <c:overlay val="0"/>
    </c:title>
    <c:autoTitleDeleted val="0"/>
    <c:plotArea>
      <c:layout/>
      <c:lineChart>
        <c:grouping val="standard"/>
        <c:varyColors val="0"/>
        <c:ser>
          <c:idx val="1"/>
          <c:order val="0"/>
          <c:tx>
            <c:v>FCFS</c:v>
          </c:tx>
          <c:val>
            <c:numRef>
              <c:f>data!$B$2:$B$31</c:f>
              <c:numCache>
                <c:formatCode>General</c:formatCode>
                <c:ptCount val="30"/>
                <c:pt idx="0">
                  <c:v>3.09883E-2</c:v>
                </c:pt>
                <c:pt idx="1">
                  <c:v>3.2399900000000002E-2</c:v>
                </c:pt>
                <c:pt idx="2">
                  <c:v>3.3141499999999997E-2</c:v>
                </c:pt>
                <c:pt idx="3">
                  <c:v>3.3512399999999998E-2</c:v>
                </c:pt>
                <c:pt idx="4">
                  <c:v>3.45402E-2</c:v>
                </c:pt>
                <c:pt idx="5">
                  <c:v>3.6450700000000003E-2</c:v>
                </c:pt>
                <c:pt idx="6">
                  <c:v>3.7815300000000003E-2</c:v>
                </c:pt>
                <c:pt idx="7">
                  <c:v>3.8838699999999997E-2</c:v>
                </c:pt>
                <c:pt idx="8">
                  <c:v>4.03395E-2</c:v>
                </c:pt>
                <c:pt idx="9">
                  <c:v>4.2420699999999999E-2</c:v>
                </c:pt>
                <c:pt idx="10">
                  <c:v>4.4123500000000003E-2</c:v>
                </c:pt>
                <c:pt idx="11">
                  <c:v>4.58538E-2</c:v>
                </c:pt>
                <c:pt idx="12">
                  <c:v>4.7347E-2</c:v>
                </c:pt>
                <c:pt idx="13">
                  <c:v>4.8626900000000001E-2</c:v>
                </c:pt>
                <c:pt idx="14">
                  <c:v>4.9893399999999997E-2</c:v>
                </c:pt>
                <c:pt idx="15">
                  <c:v>5.2095599999999999E-2</c:v>
                </c:pt>
                <c:pt idx="16">
                  <c:v>5.5011200000000003E-2</c:v>
                </c:pt>
                <c:pt idx="17">
                  <c:v>5.7602899999999999E-2</c:v>
                </c:pt>
                <c:pt idx="18">
                  <c:v>6.2936500000000006E-2</c:v>
                </c:pt>
                <c:pt idx="19">
                  <c:v>6.8223500000000006E-2</c:v>
                </c:pt>
                <c:pt idx="20">
                  <c:v>7.3007100000000005E-2</c:v>
                </c:pt>
                <c:pt idx="21">
                  <c:v>7.7355699999999999E-2</c:v>
                </c:pt>
                <c:pt idx="22">
                  <c:v>8.2257399999999994E-2</c:v>
                </c:pt>
                <c:pt idx="23">
                  <c:v>8.7035899999999999E-2</c:v>
                </c:pt>
                <c:pt idx="24">
                  <c:v>9.1432200000000005E-2</c:v>
                </c:pt>
                <c:pt idx="25">
                  <c:v>9.54903E-2</c:v>
                </c:pt>
                <c:pt idx="26">
                  <c:v>9.9247799999999997E-2</c:v>
                </c:pt>
                <c:pt idx="27">
                  <c:v>0.10273699999999999</c:v>
                </c:pt>
                <c:pt idx="28">
                  <c:v>0.105985</c:v>
                </c:pt>
                <c:pt idx="29">
                  <c:v>0.109017</c:v>
                </c:pt>
              </c:numCache>
            </c:numRef>
          </c:val>
          <c:smooth val="0"/>
        </c:ser>
        <c:ser>
          <c:idx val="0"/>
          <c:order val="1"/>
          <c:tx>
            <c:v>HRRN</c:v>
          </c:tx>
          <c:val>
            <c:numRef>
              <c:f>data!$B$32:$B$61</c:f>
              <c:numCache>
                <c:formatCode>General</c:formatCode>
                <c:ptCount val="30"/>
                <c:pt idx="0">
                  <c:v>3.09883E-2</c:v>
                </c:pt>
                <c:pt idx="1">
                  <c:v>3.2399900000000002E-2</c:v>
                </c:pt>
                <c:pt idx="2">
                  <c:v>3.3141499999999997E-2</c:v>
                </c:pt>
                <c:pt idx="3">
                  <c:v>3.3512399999999998E-2</c:v>
                </c:pt>
                <c:pt idx="4">
                  <c:v>3.45402E-2</c:v>
                </c:pt>
                <c:pt idx="5">
                  <c:v>3.6450700000000003E-2</c:v>
                </c:pt>
                <c:pt idx="6">
                  <c:v>3.7815300000000003E-2</c:v>
                </c:pt>
                <c:pt idx="7">
                  <c:v>3.8838699999999997E-2</c:v>
                </c:pt>
                <c:pt idx="8">
                  <c:v>4.03395E-2</c:v>
                </c:pt>
                <c:pt idx="9">
                  <c:v>4.2420699999999999E-2</c:v>
                </c:pt>
                <c:pt idx="10">
                  <c:v>4.4123500000000003E-2</c:v>
                </c:pt>
                <c:pt idx="11">
                  <c:v>4.58538E-2</c:v>
                </c:pt>
                <c:pt idx="12">
                  <c:v>4.7347E-2</c:v>
                </c:pt>
                <c:pt idx="13">
                  <c:v>4.8626900000000001E-2</c:v>
                </c:pt>
                <c:pt idx="14">
                  <c:v>4.9893399999999997E-2</c:v>
                </c:pt>
                <c:pt idx="15">
                  <c:v>5.2095599999999999E-2</c:v>
                </c:pt>
                <c:pt idx="16">
                  <c:v>5.5011200000000003E-2</c:v>
                </c:pt>
                <c:pt idx="17">
                  <c:v>5.7602899999999999E-2</c:v>
                </c:pt>
                <c:pt idx="18">
                  <c:v>6.2936500000000006E-2</c:v>
                </c:pt>
                <c:pt idx="19">
                  <c:v>6.8223500000000006E-2</c:v>
                </c:pt>
                <c:pt idx="20">
                  <c:v>7.3007100000000005E-2</c:v>
                </c:pt>
                <c:pt idx="21">
                  <c:v>7.7355699999999999E-2</c:v>
                </c:pt>
                <c:pt idx="22">
                  <c:v>8.2257399999999994E-2</c:v>
                </c:pt>
                <c:pt idx="23">
                  <c:v>8.7035899999999999E-2</c:v>
                </c:pt>
                <c:pt idx="24">
                  <c:v>9.1432200000000005E-2</c:v>
                </c:pt>
                <c:pt idx="25">
                  <c:v>9.54903E-2</c:v>
                </c:pt>
                <c:pt idx="26">
                  <c:v>9.9247799999999997E-2</c:v>
                </c:pt>
                <c:pt idx="27">
                  <c:v>0.10273699999999999</c:v>
                </c:pt>
                <c:pt idx="28">
                  <c:v>0.105985</c:v>
                </c:pt>
                <c:pt idx="29">
                  <c:v>0.109017</c:v>
                </c:pt>
              </c:numCache>
            </c:numRef>
          </c:val>
          <c:smooth val="0"/>
        </c:ser>
        <c:ser>
          <c:idx val="2"/>
          <c:order val="2"/>
          <c:tx>
            <c:v>RR 0.01</c:v>
          </c:tx>
          <c:val>
            <c:numRef>
              <c:f>data!$B$62:$B$91</c:f>
              <c:numCache>
                <c:formatCode>General</c:formatCode>
                <c:ptCount val="30"/>
                <c:pt idx="0">
                  <c:v>7.4169299999999994E-2</c:v>
                </c:pt>
                <c:pt idx="1">
                  <c:v>7.9807400000000001E-2</c:v>
                </c:pt>
                <c:pt idx="2">
                  <c:v>8.6150500000000005E-2</c:v>
                </c:pt>
                <c:pt idx="3">
                  <c:v>9.3626000000000001E-2</c:v>
                </c:pt>
                <c:pt idx="4">
                  <c:v>0.102355</c:v>
                </c:pt>
                <c:pt idx="5">
                  <c:v>0.113135</c:v>
                </c:pt>
                <c:pt idx="6">
                  <c:v>0.12654799999999999</c:v>
                </c:pt>
                <c:pt idx="7">
                  <c:v>0.14432700000000001</c:v>
                </c:pt>
                <c:pt idx="8">
                  <c:v>0.168631</c:v>
                </c:pt>
                <c:pt idx="9">
                  <c:v>0.20522199999999999</c:v>
                </c:pt>
                <c:pt idx="10">
                  <c:v>0.26140799999999997</c:v>
                </c:pt>
                <c:pt idx="11">
                  <c:v>0.356016</c:v>
                </c:pt>
                <c:pt idx="12">
                  <c:v>0.56437499999999996</c:v>
                </c:pt>
                <c:pt idx="13">
                  <c:v>1.6299300000000001</c:v>
                </c:pt>
                <c:pt idx="14">
                  <c:v>17.330500000000001</c:v>
                </c:pt>
                <c:pt idx="15">
                  <c:v>34.842399999999998</c:v>
                </c:pt>
                <c:pt idx="16">
                  <c:v>48.347799999999999</c:v>
                </c:pt>
                <c:pt idx="17">
                  <c:v>59.307899999999997</c:v>
                </c:pt>
                <c:pt idx="18">
                  <c:v>68.018900000000002</c:v>
                </c:pt>
                <c:pt idx="19">
                  <c:v>74.953100000000006</c:v>
                </c:pt>
                <c:pt idx="20">
                  <c:v>80.723500000000001</c:v>
                </c:pt>
                <c:pt idx="21">
                  <c:v>86.128799999999998</c:v>
                </c:pt>
                <c:pt idx="22">
                  <c:v>90.506</c:v>
                </c:pt>
                <c:pt idx="23">
                  <c:v>93.583399999999997</c:v>
                </c:pt>
                <c:pt idx="24">
                  <c:v>96.339600000000004</c:v>
                </c:pt>
                <c:pt idx="25">
                  <c:v>98.794899999999998</c:v>
                </c:pt>
                <c:pt idx="26">
                  <c:v>100.81</c:v>
                </c:pt>
                <c:pt idx="27">
                  <c:v>101.902</c:v>
                </c:pt>
                <c:pt idx="28">
                  <c:v>103.517</c:v>
                </c:pt>
                <c:pt idx="29">
                  <c:v>104.258</c:v>
                </c:pt>
              </c:numCache>
            </c:numRef>
          </c:val>
          <c:smooth val="0"/>
        </c:ser>
        <c:ser>
          <c:idx val="3"/>
          <c:order val="3"/>
          <c:tx>
            <c:v>RR 0.2</c:v>
          </c:tx>
          <c:val>
            <c:numRef>
              <c:f>data!$B$92:$B$121</c:f>
              <c:numCache>
                <c:formatCode>General</c:formatCode>
                <c:ptCount val="30"/>
                <c:pt idx="0">
                  <c:v>0.30714200000000003</c:v>
                </c:pt>
                <c:pt idx="1">
                  <c:v>0.401615</c:v>
                </c:pt>
                <c:pt idx="2">
                  <c:v>0.70859799999999995</c:v>
                </c:pt>
                <c:pt idx="3">
                  <c:v>21.937799999999999</c:v>
                </c:pt>
                <c:pt idx="4">
                  <c:v>0.84241999999999995</c:v>
                </c:pt>
                <c:pt idx="5">
                  <c:v>0.54983099999999996</c:v>
                </c:pt>
                <c:pt idx="6">
                  <c:v>0.46285300000000001</c:v>
                </c:pt>
                <c:pt idx="7">
                  <c:v>0.41398099999999999</c:v>
                </c:pt>
                <c:pt idx="8">
                  <c:v>0.38697599999999999</c:v>
                </c:pt>
                <c:pt idx="9">
                  <c:v>0.36976999999999999</c:v>
                </c:pt>
                <c:pt idx="10">
                  <c:v>0.35459499999999999</c:v>
                </c:pt>
                <c:pt idx="11">
                  <c:v>0.340669</c:v>
                </c:pt>
                <c:pt idx="12">
                  <c:v>0.33310299999999998</c:v>
                </c:pt>
                <c:pt idx="13">
                  <c:v>0.32749099999999998</c:v>
                </c:pt>
                <c:pt idx="14">
                  <c:v>0.32162299999999999</c:v>
                </c:pt>
                <c:pt idx="15">
                  <c:v>0.31595400000000001</c:v>
                </c:pt>
                <c:pt idx="16">
                  <c:v>0.31206299999999998</c:v>
                </c:pt>
                <c:pt idx="17">
                  <c:v>0.30908000000000002</c:v>
                </c:pt>
                <c:pt idx="18">
                  <c:v>0.305813</c:v>
                </c:pt>
                <c:pt idx="19">
                  <c:v>0.302732</c:v>
                </c:pt>
                <c:pt idx="20">
                  <c:v>0.29984100000000002</c:v>
                </c:pt>
                <c:pt idx="21">
                  <c:v>0.29736000000000001</c:v>
                </c:pt>
                <c:pt idx="22">
                  <c:v>0.296379</c:v>
                </c:pt>
                <c:pt idx="23">
                  <c:v>0.29436099999999998</c:v>
                </c:pt>
                <c:pt idx="24">
                  <c:v>0.29292099999999999</c:v>
                </c:pt>
                <c:pt idx="25">
                  <c:v>0.29111700000000001</c:v>
                </c:pt>
                <c:pt idx="26">
                  <c:v>0.29026000000000002</c:v>
                </c:pt>
                <c:pt idx="27">
                  <c:v>0.28830899999999998</c:v>
                </c:pt>
                <c:pt idx="28">
                  <c:v>0.28721099999999999</c:v>
                </c:pt>
                <c:pt idx="29">
                  <c:v>0.285688</c:v>
                </c:pt>
              </c:numCache>
            </c:numRef>
          </c:val>
          <c:smooth val="0"/>
        </c:ser>
        <c:ser>
          <c:idx val="4"/>
          <c:order val="4"/>
          <c:tx>
            <c:v>STRF</c:v>
          </c:tx>
          <c:val>
            <c:numRef>
              <c:f>data!$B$122:$B$151</c:f>
              <c:numCache>
                <c:formatCode>General</c:formatCode>
                <c:ptCount val="30"/>
                <c:pt idx="0">
                  <c:v>6.5001400000000001E-2</c:v>
                </c:pt>
                <c:pt idx="1">
                  <c:v>6.91972E-2</c:v>
                </c:pt>
                <c:pt idx="2">
                  <c:v>7.3907600000000004E-2</c:v>
                </c:pt>
                <c:pt idx="3">
                  <c:v>7.6237100000000002E-2</c:v>
                </c:pt>
                <c:pt idx="4">
                  <c:v>7.7841599999999997E-2</c:v>
                </c:pt>
                <c:pt idx="5">
                  <c:v>8.15356E-2</c:v>
                </c:pt>
                <c:pt idx="6">
                  <c:v>8.0120200000000003E-2</c:v>
                </c:pt>
                <c:pt idx="7">
                  <c:v>8.1636899999999998E-2</c:v>
                </c:pt>
                <c:pt idx="8">
                  <c:v>8.1453399999999995E-2</c:v>
                </c:pt>
                <c:pt idx="9">
                  <c:v>7.9717899999999994E-2</c:v>
                </c:pt>
                <c:pt idx="10">
                  <c:v>7.9077900000000007E-2</c:v>
                </c:pt>
                <c:pt idx="11">
                  <c:v>7.6476000000000002E-2</c:v>
                </c:pt>
                <c:pt idx="12">
                  <c:v>7.7747499999999997E-2</c:v>
                </c:pt>
                <c:pt idx="13">
                  <c:v>7.5309600000000004E-2</c:v>
                </c:pt>
                <c:pt idx="14">
                  <c:v>7.4706300000000003E-2</c:v>
                </c:pt>
                <c:pt idx="15">
                  <c:v>7.6503500000000002E-2</c:v>
                </c:pt>
                <c:pt idx="16">
                  <c:v>7.3349999999999999E-2</c:v>
                </c:pt>
                <c:pt idx="17">
                  <c:v>7.0136100000000007E-2</c:v>
                </c:pt>
                <c:pt idx="18">
                  <c:v>7.1404800000000004E-2</c:v>
                </c:pt>
                <c:pt idx="19">
                  <c:v>6.9173499999999999E-2</c:v>
                </c:pt>
                <c:pt idx="20">
                  <c:v>6.6786100000000001E-2</c:v>
                </c:pt>
                <c:pt idx="21">
                  <c:v>6.5595299999999995E-2</c:v>
                </c:pt>
                <c:pt idx="22">
                  <c:v>6.5268999999999994E-2</c:v>
                </c:pt>
                <c:pt idx="23">
                  <c:v>6.3114900000000002E-2</c:v>
                </c:pt>
                <c:pt idx="24">
                  <c:v>6.3664299999999993E-2</c:v>
                </c:pt>
                <c:pt idx="25">
                  <c:v>6.08046E-2</c:v>
                </c:pt>
                <c:pt idx="26">
                  <c:v>5.8358100000000003E-2</c:v>
                </c:pt>
                <c:pt idx="27">
                  <c:v>5.7492799999999997E-2</c:v>
                </c:pt>
                <c:pt idx="28">
                  <c:v>5.90766E-2</c:v>
                </c:pt>
                <c:pt idx="29">
                  <c:v>5.7113299999999999E-2</c:v>
                </c:pt>
              </c:numCache>
            </c:numRef>
          </c:val>
          <c:smooth val="0"/>
        </c:ser>
        <c:dLbls>
          <c:showLegendKey val="0"/>
          <c:showVal val="0"/>
          <c:showCatName val="0"/>
          <c:showSerName val="0"/>
          <c:showPercent val="0"/>
          <c:showBubbleSize val="0"/>
        </c:dLbls>
        <c:marker val="1"/>
        <c:smooth val="0"/>
        <c:axId val="44976768"/>
        <c:axId val="44978944"/>
      </c:lineChart>
      <c:catAx>
        <c:axId val="44976768"/>
        <c:scaling>
          <c:orientation val="minMax"/>
        </c:scaling>
        <c:delete val="0"/>
        <c:axPos val="b"/>
        <c:title>
          <c:tx>
            <c:rich>
              <a:bodyPr/>
              <a:lstStyle/>
              <a:p>
                <a:pPr>
                  <a:defRPr/>
                </a:pPr>
                <a:r>
                  <a:rPr lang="en-US"/>
                  <a:t>Lambda</a:t>
                </a:r>
              </a:p>
            </c:rich>
          </c:tx>
          <c:overlay val="0"/>
        </c:title>
        <c:numFmt formatCode="General" sourceLinked="1"/>
        <c:majorTickMark val="out"/>
        <c:minorTickMark val="none"/>
        <c:tickLblPos val="nextTo"/>
        <c:crossAx val="44978944"/>
        <c:crosses val="autoZero"/>
        <c:auto val="1"/>
        <c:lblAlgn val="ctr"/>
        <c:lblOffset val="100"/>
        <c:noMultiLvlLbl val="0"/>
      </c:catAx>
      <c:valAx>
        <c:axId val="44978944"/>
        <c:scaling>
          <c:orientation val="minMax"/>
        </c:scaling>
        <c:delete val="0"/>
        <c:axPos val="l"/>
        <c:majorGridlines/>
        <c:title>
          <c:tx>
            <c:rich>
              <a:bodyPr rot="-5400000" vert="horz"/>
              <a:lstStyle/>
              <a:p>
                <a:pPr>
                  <a:defRPr/>
                </a:pPr>
                <a:r>
                  <a:rPr lang="en-US" sz="1200" b="1" i="0" baseline="0">
                    <a:effectLst/>
                  </a:rPr>
                  <a:t>Average Turnaround</a:t>
                </a:r>
                <a:endParaRPr lang="en-US" sz="1200">
                  <a:effectLst/>
                </a:endParaRPr>
              </a:p>
            </c:rich>
          </c:tx>
          <c:overlay val="0"/>
        </c:title>
        <c:numFmt formatCode="General" sourceLinked="1"/>
        <c:majorTickMark val="out"/>
        <c:minorTickMark val="none"/>
        <c:tickLblPos val="nextTo"/>
        <c:crossAx val="4497676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Total</a:t>
            </a:r>
            <a:r>
              <a:rPr lang="en-US" baseline="0"/>
              <a:t> Throughput</a:t>
            </a:r>
            <a:endParaRPr lang="en-US"/>
          </a:p>
        </c:rich>
      </c:tx>
      <c:overlay val="0"/>
    </c:title>
    <c:autoTitleDeleted val="0"/>
    <c:plotArea>
      <c:layout/>
      <c:lineChart>
        <c:grouping val="standard"/>
        <c:varyColors val="0"/>
        <c:ser>
          <c:idx val="1"/>
          <c:order val="0"/>
          <c:tx>
            <c:v>FCFS</c:v>
          </c:tx>
          <c:val>
            <c:numRef>
              <c:f>data!$C$2:$C$31</c:f>
              <c:numCache>
                <c:formatCode>General</c:formatCode>
                <c:ptCount val="30"/>
                <c:pt idx="0">
                  <c:v>1.54504</c:v>
                </c:pt>
                <c:pt idx="1">
                  <c:v>3.07714</c:v>
                </c:pt>
                <c:pt idx="2">
                  <c:v>4.5964499999999999</c:v>
                </c:pt>
                <c:pt idx="3">
                  <c:v>6.1031399999999998</c:v>
                </c:pt>
                <c:pt idx="4">
                  <c:v>7.5973600000000001</c:v>
                </c:pt>
                <c:pt idx="5">
                  <c:v>9.0792599999999997</c:v>
                </c:pt>
                <c:pt idx="6">
                  <c:v>10.548999999999999</c:v>
                </c:pt>
                <c:pt idx="7">
                  <c:v>12.0067</c:v>
                </c:pt>
                <c:pt idx="8">
                  <c:v>13.4526</c:v>
                </c:pt>
                <c:pt idx="9">
                  <c:v>14.886699999999999</c:v>
                </c:pt>
                <c:pt idx="10">
                  <c:v>16.3093</c:v>
                </c:pt>
                <c:pt idx="11">
                  <c:v>17.720400000000001</c:v>
                </c:pt>
                <c:pt idx="12">
                  <c:v>19.120200000000001</c:v>
                </c:pt>
                <c:pt idx="13">
                  <c:v>20.508800000000001</c:v>
                </c:pt>
                <c:pt idx="14">
                  <c:v>21.886399999999998</c:v>
                </c:pt>
                <c:pt idx="15">
                  <c:v>23.2531</c:v>
                </c:pt>
                <c:pt idx="16">
                  <c:v>24.609000000000002</c:v>
                </c:pt>
                <c:pt idx="17">
                  <c:v>25.9543</c:v>
                </c:pt>
                <c:pt idx="18">
                  <c:v>27.289000000000001</c:v>
                </c:pt>
                <c:pt idx="19">
                  <c:v>28.613399999999999</c:v>
                </c:pt>
                <c:pt idx="20">
                  <c:v>29.927399999999999</c:v>
                </c:pt>
                <c:pt idx="21">
                  <c:v>31.231300000000001</c:v>
                </c:pt>
                <c:pt idx="22">
                  <c:v>31.569099999999999</c:v>
                </c:pt>
                <c:pt idx="23">
                  <c:v>31.5977</c:v>
                </c:pt>
                <c:pt idx="24">
                  <c:v>31.623999999999999</c:v>
                </c:pt>
                <c:pt idx="25">
                  <c:v>31.648399999999999</c:v>
                </c:pt>
                <c:pt idx="26">
                  <c:v>31.670999999999999</c:v>
                </c:pt>
                <c:pt idx="27">
                  <c:v>31.692</c:v>
                </c:pt>
                <c:pt idx="28">
                  <c:v>31.711600000000001</c:v>
                </c:pt>
                <c:pt idx="29">
                  <c:v>31.729900000000001</c:v>
                </c:pt>
              </c:numCache>
            </c:numRef>
          </c:val>
          <c:smooth val="0"/>
        </c:ser>
        <c:ser>
          <c:idx val="0"/>
          <c:order val="1"/>
          <c:tx>
            <c:v>HRRN</c:v>
          </c:tx>
          <c:val>
            <c:numRef>
              <c:f>data!$C$32:$C$61</c:f>
              <c:numCache>
                <c:formatCode>General</c:formatCode>
                <c:ptCount val="30"/>
                <c:pt idx="0">
                  <c:v>1.54504</c:v>
                </c:pt>
                <c:pt idx="1">
                  <c:v>3.07714</c:v>
                </c:pt>
                <c:pt idx="2">
                  <c:v>4.5964499999999999</c:v>
                </c:pt>
                <c:pt idx="3">
                  <c:v>6.1031399999999998</c:v>
                </c:pt>
                <c:pt idx="4">
                  <c:v>7.5973600000000001</c:v>
                </c:pt>
                <c:pt idx="5">
                  <c:v>9.0792599999999997</c:v>
                </c:pt>
                <c:pt idx="6">
                  <c:v>10.548999999999999</c:v>
                </c:pt>
                <c:pt idx="7">
                  <c:v>12.0067</c:v>
                </c:pt>
                <c:pt idx="8">
                  <c:v>13.4526</c:v>
                </c:pt>
                <c:pt idx="9">
                  <c:v>14.886699999999999</c:v>
                </c:pt>
                <c:pt idx="10">
                  <c:v>16.3093</c:v>
                </c:pt>
                <c:pt idx="11">
                  <c:v>17.720400000000001</c:v>
                </c:pt>
                <c:pt idx="12">
                  <c:v>19.120200000000001</c:v>
                </c:pt>
                <c:pt idx="13">
                  <c:v>20.508800000000001</c:v>
                </c:pt>
                <c:pt idx="14">
                  <c:v>21.886399999999998</c:v>
                </c:pt>
                <c:pt idx="15">
                  <c:v>23.2531</c:v>
                </c:pt>
                <c:pt idx="16">
                  <c:v>24.609000000000002</c:v>
                </c:pt>
                <c:pt idx="17">
                  <c:v>25.9543</c:v>
                </c:pt>
                <c:pt idx="18">
                  <c:v>27.289000000000001</c:v>
                </c:pt>
                <c:pt idx="19">
                  <c:v>28.613399999999999</c:v>
                </c:pt>
                <c:pt idx="20">
                  <c:v>29.927399999999999</c:v>
                </c:pt>
                <c:pt idx="21">
                  <c:v>31.231300000000001</c:v>
                </c:pt>
                <c:pt idx="22">
                  <c:v>31.569099999999999</c:v>
                </c:pt>
                <c:pt idx="23">
                  <c:v>31.5977</c:v>
                </c:pt>
                <c:pt idx="24">
                  <c:v>31.623999999999999</c:v>
                </c:pt>
                <c:pt idx="25">
                  <c:v>31.648399999999999</c:v>
                </c:pt>
                <c:pt idx="26">
                  <c:v>31.670999999999999</c:v>
                </c:pt>
                <c:pt idx="27">
                  <c:v>31.692</c:v>
                </c:pt>
                <c:pt idx="28">
                  <c:v>31.711600000000001</c:v>
                </c:pt>
                <c:pt idx="29">
                  <c:v>31.729900000000001</c:v>
                </c:pt>
              </c:numCache>
            </c:numRef>
          </c:val>
          <c:smooth val="0"/>
        </c:ser>
        <c:ser>
          <c:idx val="2"/>
          <c:order val="2"/>
          <c:tx>
            <c:v>RR 0.01</c:v>
          </c:tx>
          <c:val>
            <c:numRef>
              <c:f>data!$C$62:$C$91</c:f>
              <c:numCache>
                <c:formatCode>General</c:formatCode>
                <c:ptCount val="30"/>
                <c:pt idx="0">
                  <c:v>0.98585100000000003</c:v>
                </c:pt>
                <c:pt idx="1">
                  <c:v>1.9717</c:v>
                </c:pt>
                <c:pt idx="2">
                  <c:v>2.9575399999999998</c:v>
                </c:pt>
                <c:pt idx="3">
                  <c:v>3.9433699999999998</c:v>
                </c:pt>
                <c:pt idx="4">
                  <c:v>4.9292100000000003</c:v>
                </c:pt>
                <c:pt idx="5">
                  <c:v>5.915</c:v>
                </c:pt>
                <c:pt idx="6">
                  <c:v>6.9003500000000004</c:v>
                </c:pt>
                <c:pt idx="7">
                  <c:v>7.8855500000000003</c:v>
                </c:pt>
                <c:pt idx="8">
                  <c:v>8.8704699999999992</c:v>
                </c:pt>
                <c:pt idx="9">
                  <c:v>9.8546999999999993</c:v>
                </c:pt>
                <c:pt idx="10">
                  <c:v>10.839600000000001</c:v>
                </c:pt>
                <c:pt idx="11">
                  <c:v>11.8241</c:v>
                </c:pt>
                <c:pt idx="12">
                  <c:v>12.808299999999999</c:v>
                </c:pt>
                <c:pt idx="13">
                  <c:v>13.7912</c:v>
                </c:pt>
                <c:pt idx="14">
                  <c:v>14.1355</c:v>
                </c:pt>
                <c:pt idx="15">
                  <c:v>14.1639</c:v>
                </c:pt>
                <c:pt idx="16">
                  <c:v>14.1881</c:v>
                </c:pt>
                <c:pt idx="17">
                  <c:v>14.200799999999999</c:v>
                </c:pt>
                <c:pt idx="18">
                  <c:v>14.198399999999999</c:v>
                </c:pt>
                <c:pt idx="19">
                  <c:v>14.21</c:v>
                </c:pt>
                <c:pt idx="20">
                  <c:v>14.2608</c:v>
                </c:pt>
                <c:pt idx="21">
                  <c:v>14.2644</c:v>
                </c:pt>
                <c:pt idx="22">
                  <c:v>14.269</c:v>
                </c:pt>
                <c:pt idx="23">
                  <c:v>14.246700000000001</c:v>
                </c:pt>
                <c:pt idx="24">
                  <c:v>14.241099999999999</c:v>
                </c:pt>
                <c:pt idx="25">
                  <c:v>14.233700000000001</c:v>
                </c:pt>
                <c:pt idx="26">
                  <c:v>14.2219</c:v>
                </c:pt>
                <c:pt idx="27">
                  <c:v>14.2319</c:v>
                </c:pt>
                <c:pt idx="28">
                  <c:v>14.210699999999999</c:v>
                </c:pt>
                <c:pt idx="29">
                  <c:v>14.2197</c:v>
                </c:pt>
              </c:numCache>
            </c:numRef>
          </c:val>
          <c:smooth val="0"/>
        </c:ser>
        <c:ser>
          <c:idx val="3"/>
          <c:order val="3"/>
          <c:tx>
            <c:v>RR 0.2</c:v>
          </c:tx>
          <c:val>
            <c:numRef>
              <c:f>data!$C$92:$C$121</c:f>
              <c:numCache>
                <c:formatCode>General</c:formatCode>
                <c:ptCount val="30"/>
                <c:pt idx="0">
                  <c:v>0.98583200000000004</c:v>
                </c:pt>
                <c:pt idx="1">
                  <c:v>1.9714700000000001</c:v>
                </c:pt>
                <c:pt idx="2">
                  <c:v>2.9563299999999999</c:v>
                </c:pt>
                <c:pt idx="3">
                  <c:v>3.83772</c:v>
                </c:pt>
                <c:pt idx="4">
                  <c:v>3.8453900000000001</c:v>
                </c:pt>
                <c:pt idx="5">
                  <c:v>3.8536600000000001</c:v>
                </c:pt>
                <c:pt idx="6">
                  <c:v>3.8484600000000002</c:v>
                </c:pt>
                <c:pt idx="7">
                  <c:v>3.85365</c:v>
                </c:pt>
                <c:pt idx="8">
                  <c:v>3.8478699999999999</c:v>
                </c:pt>
                <c:pt idx="9">
                  <c:v>3.8586800000000001</c:v>
                </c:pt>
                <c:pt idx="10">
                  <c:v>3.8419699999999999</c:v>
                </c:pt>
                <c:pt idx="11">
                  <c:v>3.8499300000000001</c:v>
                </c:pt>
                <c:pt idx="12">
                  <c:v>3.8600099999999999</c:v>
                </c:pt>
                <c:pt idx="13">
                  <c:v>3.8493200000000001</c:v>
                </c:pt>
                <c:pt idx="14">
                  <c:v>3.8490000000000002</c:v>
                </c:pt>
                <c:pt idx="15">
                  <c:v>3.8649100000000001</c:v>
                </c:pt>
                <c:pt idx="16">
                  <c:v>3.8616600000000001</c:v>
                </c:pt>
                <c:pt idx="17">
                  <c:v>3.8581300000000001</c:v>
                </c:pt>
                <c:pt idx="18">
                  <c:v>3.8564500000000002</c:v>
                </c:pt>
                <c:pt idx="19">
                  <c:v>3.8549000000000002</c:v>
                </c:pt>
                <c:pt idx="20">
                  <c:v>3.8590399999999998</c:v>
                </c:pt>
                <c:pt idx="21">
                  <c:v>3.8702299999999998</c:v>
                </c:pt>
                <c:pt idx="22">
                  <c:v>3.8509099999999998</c:v>
                </c:pt>
                <c:pt idx="23">
                  <c:v>3.8525399999999999</c:v>
                </c:pt>
                <c:pt idx="24">
                  <c:v>3.8481000000000001</c:v>
                </c:pt>
                <c:pt idx="25">
                  <c:v>3.8572799999999998</c:v>
                </c:pt>
                <c:pt idx="26">
                  <c:v>3.8485399999999998</c:v>
                </c:pt>
                <c:pt idx="27">
                  <c:v>3.8598499999999998</c:v>
                </c:pt>
                <c:pt idx="28">
                  <c:v>3.8515199999999998</c:v>
                </c:pt>
                <c:pt idx="29">
                  <c:v>3.85568</c:v>
                </c:pt>
              </c:numCache>
            </c:numRef>
          </c:val>
          <c:smooth val="0"/>
        </c:ser>
        <c:ser>
          <c:idx val="4"/>
          <c:order val="4"/>
          <c:tx>
            <c:v>STRF</c:v>
          </c:tx>
          <c:val>
            <c:numRef>
              <c:f>data!$C$122:$C$151</c:f>
              <c:numCache>
                <c:formatCode>General</c:formatCode>
                <c:ptCount val="30"/>
                <c:pt idx="0">
                  <c:v>0.98585199999999995</c:v>
                </c:pt>
                <c:pt idx="1">
                  <c:v>1.9700299999999999</c:v>
                </c:pt>
                <c:pt idx="2">
                  <c:v>2.9451399999999999</c:v>
                </c:pt>
                <c:pt idx="3">
                  <c:v>3.8996499999999998</c:v>
                </c:pt>
                <c:pt idx="4">
                  <c:v>4.8422200000000002</c:v>
                </c:pt>
                <c:pt idx="5">
                  <c:v>5.7420299999999997</c:v>
                </c:pt>
                <c:pt idx="6">
                  <c:v>6.6113400000000002</c:v>
                </c:pt>
                <c:pt idx="7">
                  <c:v>7.4660399999999996</c:v>
                </c:pt>
                <c:pt idx="8">
                  <c:v>8.2811000000000003</c:v>
                </c:pt>
                <c:pt idx="9">
                  <c:v>9.0509699999999995</c:v>
                </c:pt>
                <c:pt idx="10">
                  <c:v>9.8279499999999995</c:v>
                </c:pt>
                <c:pt idx="11">
                  <c:v>10.5116</c:v>
                </c:pt>
                <c:pt idx="12">
                  <c:v>11.241400000000001</c:v>
                </c:pt>
                <c:pt idx="13">
                  <c:v>11.864699999999999</c:v>
                </c:pt>
                <c:pt idx="14">
                  <c:v>12.510899999999999</c:v>
                </c:pt>
                <c:pt idx="15">
                  <c:v>13.197699999999999</c:v>
                </c:pt>
                <c:pt idx="16">
                  <c:v>13.741899999999999</c:v>
                </c:pt>
                <c:pt idx="17">
                  <c:v>14.215</c:v>
                </c:pt>
                <c:pt idx="18">
                  <c:v>14.849299999999999</c:v>
                </c:pt>
                <c:pt idx="19">
                  <c:v>15.3842</c:v>
                </c:pt>
                <c:pt idx="20">
                  <c:v>15.805300000000001</c:v>
                </c:pt>
                <c:pt idx="21">
                  <c:v>16.307300000000001</c:v>
                </c:pt>
                <c:pt idx="22">
                  <c:v>16.798100000000002</c:v>
                </c:pt>
                <c:pt idx="23">
                  <c:v>17.266999999999999</c:v>
                </c:pt>
                <c:pt idx="24">
                  <c:v>17.892499999999998</c:v>
                </c:pt>
                <c:pt idx="25">
                  <c:v>18.199100000000001</c:v>
                </c:pt>
                <c:pt idx="26">
                  <c:v>18.6236</c:v>
                </c:pt>
                <c:pt idx="27">
                  <c:v>19.006499999999999</c:v>
                </c:pt>
                <c:pt idx="28">
                  <c:v>19.552600000000002</c:v>
                </c:pt>
                <c:pt idx="29">
                  <c:v>19.9709</c:v>
                </c:pt>
              </c:numCache>
            </c:numRef>
          </c:val>
          <c:smooth val="0"/>
        </c:ser>
        <c:dLbls>
          <c:showLegendKey val="0"/>
          <c:showVal val="0"/>
          <c:showCatName val="0"/>
          <c:showSerName val="0"/>
          <c:showPercent val="0"/>
          <c:showBubbleSize val="0"/>
        </c:dLbls>
        <c:marker val="1"/>
        <c:smooth val="0"/>
        <c:axId val="45744512"/>
        <c:axId val="45746432"/>
      </c:lineChart>
      <c:catAx>
        <c:axId val="45744512"/>
        <c:scaling>
          <c:orientation val="minMax"/>
        </c:scaling>
        <c:delete val="0"/>
        <c:axPos val="b"/>
        <c:title>
          <c:tx>
            <c:rich>
              <a:bodyPr/>
              <a:lstStyle/>
              <a:p>
                <a:pPr>
                  <a:defRPr/>
                </a:pPr>
                <a:r>
                  <a:rPr lang="en-US"/>
                  <a:t>Lambda</a:t>
                </a:r>
              </a:p>
            </c:rich>
          </c:tx>
          <c:overlay val="0"/>
        </c:title>
        <c:numFmt formatCode="General" sourceLinked="1"/>
        <c:majorTickMark val="out"/>
        <c:minorTickMark val="none"/>
        <c:tickLblPos val="nextTo"/>
        <c:crossAx val="45746432"/>
        <c:crosses val="autoZero"/>
        <c:auto val="1"/>
        <c:lblAlgn val="ctr"/>
        <c:lblOffset val="100"/>
        <c:noMultiLvlLbl val="0"/>
      </c:catAx>
      <c:valAx>
        <c:axId val="45746432"/>
        <c:scaling>
          <c:orientation val="minMax"/>
        </c:scaling>
        <c:delete val="0"/>
        <c:axPos val="l"/>
        <c:majorGridlines/>
        <c:title>
          <c:tx>
            <c:rich>
              <a:bodyPr rot="-5400000" vert="horz"/>
              <a:lstStyle/>
              <a:p>
                <a:pPr>
                  <a:defRPr/>
                </a:pPr>
                <a:r>
                  <a:rPr lang="en-US"/>
                  <a:t>Total Throughput</a:t>
                </a:r>
              </a:p>
            </c:rich>
          </c:tx>
          <c:overlay val="0"/>
        </c:title>
        <c:numFmt formatCode="General" sourceLinked="1"/>
        <c:majorTickMark val="out"/>
        <c:minorTickMark val="none"/>
        <c:tickLblPos val="nextTo"/>
        <c:crossAx val="4574451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CPU Utilization</a:t>
            </a:r>
          </a:p>
        </c:rich>
      </c:tx>
      <c:overlay val="0"/>
    </c:title>
    <c:autoTitleDeleted val="0"/>
    <c:plotArea>
      <c:layout/>
      <c:lineChart>
        <c:grouping val="standard"/>
        <c:varyColors val="0"/>
        <c:ser>
          <c:idx val="1"/>
          <c:order val="0"/>
          <c:tx>
            <c:v>FCFS</c:v>
          </c:tx>
          <c:val>
            <c:numRef>
              <c:f>data!$D$2:$D$31</c:f>
              <c:numCache>
                <c:formatCode>General</c:formatCode>
                <c:ptCount val="30"/>
                <c:pt idx="0">
                  <c:v>0.06</c:v>
                </c:pt>
                <c:pt idx="1">
                  <c:v>0.12</c:v>
                </c:pt>
                <c:pt idx="2">
                  <c:v>0.18</c:v>
                </c:pt>
                <c:pt idx="3">
                  <c:v>0.24</c:v>
                </c:pt>
                <c:pt idx="4">
                  <c:v>0.3</c:v>
                </c:pt>
                <c:pt idx="5">
                  <c:v>0.36</c:v>
                </c:pt>
                <c:pt idx="6">
                  <c:v>0.42</c:v>
                </c:pt>
                <c:pt idx="7">
                  <c:v>0.48</c:v>
                </c:pt>
                <c:pt idx="8">
                  <c:v>0.54</c:v>
                </c:pt>
                <c:pt idx="9">
                  <c:v>0.6</c:v>
                </c:pt>
                <c:pt idx="10">
                  <c:v>0.66</c:v>
                </c:pt>
                <c:pt idx="11">
                  <c:v>0.72</c:v>
                </c:pt>
                <c:pt idx="12">
                  <c:v>0.78</c:v>
                </c:pt>
                <c:pt idx="13">
                  <c:v>0.84</c:v>
                </c:pt>
                <c:pt idx="14">
                  <c:v>0.9</c:v>
                </c:pt>
                <c:pt idx="15">
                  <c:v>0.96</c:v>
                </c:pt>
                <c:pt idx="16">
                  <c:v>1.02</c:v>
                </c:pt>
                <c:pt idx="17">
                  <c:v>1.08</c:v>
                </c:pt>
                <c:pt idx="18">
                  <c:v>1.1399999999999999</c:v>
                </c:pt>
                <c:pt idx="19">
                  <c:v>1.2</c:v>
                </c:pt>
                <c:pt idx="20">
                  <c:v>1.26</c:v>
                </c:pt>
                <c:pt idx="21">
                  <c:v>1.32</c:v>
                </c:pt>
                <c:pt idx="22">
                  <c:v>1.38</c:v>
                </c:pt>
                <c:pt idx="23">
                  <c:v>1.44</c:v>
                </c:pt>
                <c:pt idx="24">
                  <c:v>1.5</c:v>
                </c:pt>
                <c:pt idx="25">
                  <c:v>1.56</c:v>
                </c:pt>
                <c:pt idx="26">
                  <c:v>1.62</c:v>
                </c:pt>
                <c:pt idx="27">
                  <c:v>1.68</c:v>
                </c:pt>
                <c:pt idx="28">
                  <c:v>1.74</c:v>
                </c:pt>
                <c:pt idx="29">
                  <c:v>1.8</c:v>
                </c:pt>
              </c:numCache>
            </c:numRef>
          </c:val>
          <c:smooth val="0"/>
        </c:ser>
        <c:ser>
          <c:idx val="0"/>
          <c:order val="1"/>
          <c:tx>
            <c:v>HRRN</c:v>
          </c:tx>
          <c:val>
            <c:numRef>
              <c:f>data!$D$32:$D$61</c:f>
              <c:numCache>
                <c:formatCode>General</c:formatCode>
                <c:ptCount val="30"/>
                <c:pt idx="0">
                  <c:v>0.06</c:v>
                </c:pt>
                <c:pt idx="1">
                  <c:v>0.12</c:v>
                </c:pt>
                <c:pt idx="2">
                  <c:v>0.18</c:v>
                </c:pt>
                <c:pt idx="3">
                  <c:v>0.24</c:v>
                </c:pt>
                <c:pt idx="4">
                  <c:v>0.3</c:v>
                </c:pt>
                <c:pt idx="5">
                  <c:v>0.36</c:v>
                </c:pt>
                <c:pt idx="6">
                  <c:v>0.42</c:v>
                </c:pt>
                <c:pt idx="7">
                  <c:v>0.48</c:v>
                </c:pt>
                <c:pt idx="8">
                  <c:v>0.54</c:v>
                </c:pt>
                <c:pt idx="9">
                  <c:v>0.6</c:v>
                </c:pt>
                <c:pt idx="10">
                  <c:v>0.66</c:v>
                </c:pt>
                <c:pt idx="11">
                  <c:v>0.72</c:v>
                </c:pt>
                <c:pt idx="12">
                  <c:v>0.78</c:v>
                </c:pt>
                <c:pt idx="13">
                  <c:v>0.84</c:v>
                </c:pt>
                <c:pt idx="14">
                  <c:v>0.9</c:v>
                </c:pt>
                <c:pt idx="15">
                  <c:v>0.96</c:v>
                </c:pt>
                <c:pt idx="16">
                  <c:v>1.02</c:v>
                </c:pt>
                <c:pt idx="17">
                  <c:v>1.08</c:v>
                </c:pt>
                <c:pt idx="18">
                  <c:v>1.1399999999999999</c:v>
                </c:pt>
                <c:pt idx="19">
                  <c:v>1.2</c:v>
                </c:pt>
                <c:pt idx="20">
                  <c:v>1.26</c:v>
                </c:pt>
                <c:pt idx="21">
                  <c:v>1.32</c:v>
                </c:pt>
                <c:pt idx="22">
                  <c:v>1.38</c:v>
                </c:pt>
                <c:pt idx="23">
                  <c:v>1.44</c:v>
                </c:pt>
                <c:pt idx="24">
                  <c:v>1.5</c:v>
                </c:pt>
                <c:pt idx="25">
                  <c:v>1.56</c:v>
                </c:pt>
                <c:pt idx="26">
                  <c:v>1.62</c:v>
                </c:pt>
                <c:pt idx="27">
                  <c:v>1.68</c:v>
                </c:pt>
                <c:pt idx="28">
                  <c:v>1.74</c:v>
                </c:pt>
                <c:pt idx="29">
                  <c:v>1.8</c:v>
                </c:pt>
              </c:numCache>
            </c:numRef>
          </c:val>
          <c:smooth val="0"/>
        </c:ser>
        <c:ser>
          <c:idx val="2"/>
          <c:order val="2"/>
          <c:tx>
            <c:v>RR 0.01</c:v>
          </c:tx>
          <c:val>
            <c:numRef>
              <c:f>data!$D$62:$D$91</c:f>
              <c:numCache>
                <c:formatCode>General</c:formatCode>
                <c:ptCount val="30"/>
                <c:pt idx="0">
                  <c:v>0.06</c:v>
                </c:pt>
                <c:pt idx="1">
                  <c:v>0.12</c:v>
                </c:pt>
                <c:pt idx="2">
                  <c:v>0.18</c:v>
                </c:pt>
                <c:pt idx="3">
                  <c:v>0.24</c:v>
                </c:pt>
                <c:pt idx="4">
                  <c:v>0.3</c:v>
                </c:pt>
                <c:pt idx="5">
                  <c:v>0.36</c:v>
                </c:pt>
                <c:pt idx="6">
                  <c:v>0.42</c:v>
                </c:pt>
                <c:pt idx="7">
                  <c:v>0.48</c:v>
                </c:pt>
                <c:pt idx="8">
                  <c:v>0.54</c:v>
                </c:pt>
                <c:pt idx="9">
                  <c:v>0.6</c:v>
                </c:pt>
                <c:pt idx="10">
                  <c:v>0.66</c:v>
                </c:pt>
                <c:pt idx="11">
                  <c:v>0.72</c:v>
                </c:pt>
                <c:pt idx="12">
                  <c:v>0.78</c:v>
                </c:pt>
                <c:pt idx="13">
                  <c:v>0.84</c:v>
                </c:pt>
                <c:pt idx="14">
                  <c:v>0.9</c:v>
                </c:pt>
                <c:pt idx="15">
                  <c:v>0.96</c:v>
                </c:pt>
                <c:pt idx="16">
                  <c:v>1.02</c:v>
                </c:pt>
                <c:pt idx="17">
                  <c:v>1.08</c:v>
                </c:pt>
                <c:pt idx="18">
                  <c:v>1.1399999999999999</c:v>
                </c:pt>
                <c:pt idx="19">
                  <c:v>1.2</c:v>
                </c:pt>
                <c:pt idx="20">
                  <c:v>1.26</c:v>
                </c:pt>
                <c:pt idx="21">
                  <c:v>1.32</c:v>
                </c:pt>
                <c:pt idx="22">
                  <c:v>1.38</c:v>
                </c:pt>
                <c:pt idx="23">
                  <c:v>1.44</c:v>
                </c:pt>
                <c:pt idx="24">
                  <c:v>1.5</c:v>
                </c:pt>
                <c:pt idx="25">
                  <c:v>1.56</c:v>
                </c:pt>
                <c:pt idx="26">
                  <c:v>1.62</c:v>
                </c:pt>
                <c:pt idx="27">
                  <c:v>1.68</c:v>
                </c:pt>
                <c:pt idx="28">
                  <c:v>1.74</c:v>
                </c:pt>
                <c:pt idx="29">
                  <c:v>1.8</c:v>
                </c:pt>
              </c:numCache>
            </c:numRef>
          </c:val>
          <c:smooth val="0"/>
        </c:ser>
        <c:ser>
          <c:idx val="3"/>
          <c:order val="3"/>
          <c:tx>
            <c:v>RR 0.2</c:v>
          </c:tx>
          <c:val>
            <c:numRef>
              <c:f>data!$D$92:$D$121</c:f>
              <c:numCache>
                <c:formatCode>General</c:formatCode>
                <c:ptCount val="30"/>
                <c:pt idx="0">
                  <c:v>0.06</c:v>
                </c:pt>
                <c:pt idx="1">
                  <c:v>0.12</c:v>
                </c:pt>
                <c:pt idx="2">
                  <c:v>0.18</c:v>
                </c:pt>
                <c:pt idx="3">
                  <c:v>0.24</c:v>
                </c:pt>
                <c:pt idx="4">
                  <c:v>0.3</c:v>
                </c:pt>
                <c:pt idx="5">
                  <c:v>0.36</c:v>
                </c:pt>
                <c:pt idx="6">
                  <c:v>0.42</c:v>
                </c:pt>
                <c:pt idx="7">
                  <c:v>0.48</c:v>
                </c:pt>
                <c:pt idx="8">
                  <c:v>0.54</c:v>
                </c:pt>
                <c:pt idx="9">
                  <c:v>0.6</c:v>
                </c:pt>
                <c:pt idx="10">
                  <c:v>0.66</c:v>
                </c:pt>
                <c:pt idx="11">
                  <c:v>0.72</c:v>
                </c:pt>
                <c:pt idx="12">
                  <c:v>0.78</c:v>
                </c:pt>
                <c:pt idx="13">
                  <c:v>0.84</c:v>
                </c:pt>
                <c:pt idx="14">
                  <c:v>0.9</c:v>
                </c:pt>
                <c:pt idx="15">
                  <c:v>0.96</c:v>
                </c:pt>
                <c:pt idx="16">
                  <c:v>1.02</c:v>
                </c:pt>
                <c:pt idx="17">
                  <c:v>1.08</c:v>
                </c:pt>
                <c:pt idx="18">
                  <c:v>1.1399999999999999</c:v>
                </c:pt>
                <c:pt idx="19">
                  <c:v>1.2</c:v>
                </c:pt>
                <c:pt idx="20">
                  <c:v>1.26</c:v>
                </c:pt>
                <c:pt idx="21">
                  <c:v>1.32</c:v>
                </c:pt>
                <c:pt idx="22">
                  <c:v>1.38</c:v>
                </c:pt>
                <c:pt idx="23">
                  <c:v>1.44</c:v>
                </c:pt>
                <c:pt idx="24">
                  <c:v>1.5</c:v>
                </c:pt>
                <c:pt idx="25">
                  <c:v>1.56</c:v>
                </c:pt>
                <c:pt idx="26">
                  <c:v>1.62</c:v>
                </c:pt>
                <c:pt idx="27">
                  <c:v>1.68</c:v>
                </c:pt>
                <c:pt idx="28">
                  <c:v>1.74</c:v>
                </c:pt>
                <c:pt idx="29">
                  <c:v>1.8</c:v>
                </c:pt>
              </c:numCache>
            </c:numRef>
          </c:val>
          <c:smooth val="0"/>
        </c:ser>
        <c:ser>
          <c:idx val="4"/>
          <c:order val="4"/>
          <c:tx>
            <c:v>STRF</c:v>
          </c:tx>
          <c:val>
            <c:numRef>
              <c:f>data!$D$122:$D$151</c:f>
              <c:numCache>
                <c:formatCode>General</c:formatCode>
                <c:ptCount val="30"/>
                <c:pt idx="0">
                  <c:v>0.06</c:v>
                </c:pt>
                <c:pt idx="1">
                  <c:v>0.12</c:v>
                </c:pt>
                <c:pt idx="2">
                  <c:v>0.18</c:v>
                </c:pt>
                <c:pt idx="3">
                  <c:v>0.24</c:v>
                </c:pt>
                <c:pt idx="4">
                  <c:v>0.3</c:v>
                </c:pt>
                <c:pt idx="5">
                  <c:v>0.36</c:v>
                </c:pt>
                <c:pt idx="6">
                  <c:v>0.42</c:v>
                </c:pt>
                <c:pt idx="7">
                  <c:v>0.48</c:v>
                </c:pt>
                <c:pt idx="8">
                  <c:v>0.54</c:v>
                </c:pt>
                <c:pt idx="9">
                  <c:v>0.6</c:v>
                </c:pt>
                <c:pt idx="10">
                  <c:v>0.66</c:v>
                </c:pt>
                <c:pt idx="11">
                  <c:v>0.72</c:v>
                </c:pt>
                <c:pt idx="12">
                  <c:v>0.78</c:v>
                </c:pt>
                <c:pt idx="13">
                  <c:v>0.84</c:v>
                </c:pt>
                <c:pt idx="14">
                  <c:v>0.9</c:v>
                </c:pt>
                <c:pt idx="15">
                  <c:v>0.96</c:v>
                </c:pt>
                <c:pt idx="16">
                  <c:v>1.02</c:v>
                </c:pt>
                <c:pt idx="17">
                  <c:v>1.08</c:v>
                </c:pt>
                <c:pt idx="18">
                  <c:v>1.1399999999999999</c:v>
                </c:pt>
                <c:pt idx="19">
                  <c:v>1.2</c:v>
                </c:pt>
                <c:pt idx="20">
                  <c:v>1.26</c:v>
                </c:pt>
                <c:pt idx="21">
                  <c:v>1.32</c:v>
                </c:pt>
                <c:pt idx="22">
                  <c:v>1.38</c:v>
                </c:pt>
                <c:pt idx="23">
                  <c:v>1.44</c:v>
                </c:pt>
                <c:pt idx="24">
                  <c:v>1.5</c:v>
                </c:pt>
                <c:pt idx="25">
                  <c:v>1.56</c:v>
                </c:pt>
                <c:pt idx="26">
                  <c:v>1.62</c:v>
                </c:pt>
                <c:pt idx="27">
                  <c:v>1.68</c:v>
                </c:pt>
                <c:pt idx="28">
                  <c:v>1.74</c:v>
                </c:pt>
                <c:pt idx="29">
                  <c:v>1.8</c:v>
                </c:pt>
              </c:numCache>
            </c:numRef>
          </c:val>
          <c:smooth val="0"/>
        </c:ser>
        <c:dLbls>
          <c:showLegendKey val="0"/>
          <c:showVal val="0"/>
          <c:showCatName val="0"/>
          <c:showSerName val="0"/>
          <c:showPercent val="0"/>
          <c:showBubbleSize val="0"/>
        </c:dLbls>
        <c:marker val="1"/>
        <c:smooth val="0"/>
        <c:axId val="45770624"/>
        <c:axId val="45826048"/>
      </c:lineChart>
      <c:catAx>
        <c:axId val="45770624"/>
        <c:scaling>
          <c:orientation val="minMax"/>
        </c:scaling>
        <c:delete val="0"/>
        <c:axPos val="b"/>
        <c:title>
          <c:tx>
            <c:rich>
              <a:bodyPr/>
              <a:lstStyle/>
              <a:p>
                <a:pPr>
                  <a:defRPr/>
                </a:pPr>
                <a:r>
                  <a:rPr lang="en-US"/>
                  <a:t>Lambda</a:t>
                </a:r>
              </a:p>
            </c:rich>
          </c:tx>
          <c:overlay val="0"/>
        </c:title>
        <c:numFmt formatCode="General" sourceLinked="1"/>
        <c:majorTickMark val="in"/>
        <c:minorTickMark val="none"/>
        <c:tickLblPos val="nextTo"/>
        <c:crossAx val="45826048"/>
        <c:crosses val="autoZero"/>
        <c:auto val="1"/>
        <c:lblAlgn val="ctr"/>
        <c:lblOffset val="30"/>
        <c:tickLblSkip val="1"/>
        <c:noMultiLvlLbl val="0"/>
      </c:catAx>
      <c:valAx>
        <c:axId val="45826048"/>
        <c:scaling>
          <c:orientation val="minMax"/>
        </c:scaling>
        <c:delete val="0"/>
        <c:axPos val="l"/>
        <c:majorGridlines/>
        <c:title>
          <c:tx>
            <c:rich>
              <a:bodyPr rot="-5400000" vert="horz"/>
              <a:lstStyle/>
              <a:p>
                <a:pPr>
                  <a:defRPr/>
                </a:pPr>
                <a:r>
                  <a:rPr lang="en-US"/>
                  <a:t>CPU Utilization</a:t>
                </a:r>
              </a:p>
            </c:rich>
          </c:tx>
          <c:overlay val="0"/>
        </c:title>
        <c:numFmt formatCode="General" sourceLinked="1"/>
        <c:majorTickMark val="out"/>
        <c:minorTickMark val="none"/>
        <c:tickLblPos val="nextTo"/>
        <c:crossAx val="4577062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Average Ready Queue Size</a:t>
            </a:r>
          </a:p>
        </c:rich>
      </c:tx>
      <c:overlay val="0"/>
    </c:title>
    <c:autoTitleDeleted val="0"/>
    <c:plotArea>
      <c:layout/>
      <c:lineChart>
        <c:grouping val="standard"/>
        <c:varyColors val="0"/>
        <c:ser>
          <c:idx val="1"/>
          <c:order val="0"/>
          <c:tx>
            <c:v>FCFS</c:v>
          </c:tx>
          <c:val>
            <c:numRef>
              <c:f>data!$E$2:$E$31</c:f>
              <c:numCache>
                <c:formatCode>General</c:formatCode>
                <c:ptCount val="30"/>
                <c:pt idx="0">
                  <c:v>0</c:v>
                </c:pt>
                <c:pt idx="1">
                  <c:v>0</c:v>
                </c:pt>
                <c:pt idx="2">
                  <c:v>0</c:v>
                </c:pt>
                <c:pt idx="3">
                  <c:v>0</c:v>
                </c:pt>
                <c:pt idx="4">
                  <c:v>0</c:v>
                </c:pt>
                <c:pt idx="5">
                  <c:v>0</c:v>
                </c:pt>
                <c:pt idx="6">
                  <c:v>0</c:v>
                </c:pt>
                <c:pt idx="7">
                  <c:v>0</c:v>
                </c:pt>
                <c:pt idx="8">
                  <c:v>1</c:v>
                </c:pt>
                <c:pt idx="9">
                  <c:v>1</c:v>
                </c:pt>
                <c:pt idx="10">
                  <c:v>1</c:v>
                </c:pt>
                <c:pt idx="11">
                  <c:v>1</c:v>
                </c:pt>
                <c:pt idx="12">
                  <c:v>1</c:v>
                </c:pt>
                <c:pt idx="13">
                  <c:v>1</c:v>
                </c:pt>
                <c:pt idx="14">
                  <c:v>1</c:v>
                </c:pt>
                <c:pt idx="15">
                  <c:v>1</c:v>
                </c:pt>
                <c:pt idx="16">
                  <c:v>1</c:v>
                </c:pt>
                <c:pt idx="17">
                  <c:v>1</c:v>
                </c:pt>
                <c:pt idx="18">
                  <c:v>1</c:v>
                </c:pt>
                <c:pt idx="19">
                  <c:v>1</c:v>
                </c:pt>
                <c:pt idx="20">
                  <c:v>2</c:v>
                </c:pt>
                <c:pt idx="21">
                  <c:v>2</c:v>
                </c:pt>
                <c:pt idx="22">
                  <c:v>2</c:v>
                </c:pt>
                <c:pt idx="23">
                  <c:v>2</c:v>
                </c:pt>
                <c:pt idx="24">
                  <c:v>2</c:v>
                </c:pt>
                <c:pt idx="25">
                  <c:v>3</c:v>
                </c:pt>
                <c:pt idx="26">
                  <c:v>3</c:v>
                </c:pt>
                <c:pt idx="27">
                  <c:v>3</c:v>
                </c:pt>
                <c:pt idx="28">
                  <c:v>3</c:v>
                </c:pt>
                <c:pt idx="29">
                  <c:v>3</c:v>
                </c:pt>
              </c:numCache>
            </c:numRef>
          </c:val>
          <c:smooth val="0"/>
        </c:ser>
        <c:ser>
          <c:idx val="0"/>
          <c:order val="1"/>
          <c:tx>
            <c:v>HRRN</c:v>
          </c:tx>
          <c:val>
            <c:numRef>
              <c:f>data!$E$32:$E$61</c:f>
              <c:numCache>
                <c:formatCode>General</c:formatCode>
                <c:ptCount val="30"/>
                <c:pt idx="0">
                  <c:v>0</c:v>
                </c:pt>
                <c:pt idx="1">
                  <c:v>0</c:v>
                </c:pt>
                <c:pt idx="2">
                  <c:v>0</c:v>
                </c:pt>
                <c:pt idx="3">
                  <c:v>0</c:v>
                </c:pt>
                <c:pt idx="4">
                  <c:v>0</c:v>
                </c:pt>
                <c:pt idx="5">
                  <c:v>0</c:v>
                </c:pt>
                <c:pt idx="6">
                  <c:v>0</c:v>
                </c:pt>
                <c:pt idx="7">
                  <c:v>0</c:v>
                </c:pt>
                <c:pt idx="8">
                  <c:v>1</c:v>
                </c:pt>
                <c:pt idx="9">
                  <c:v>1</c:v>
                </c:pt>
                <c:pt idx="10">
                  <c:v>1</c:v>
                </c:pt>
                <c:pt idx="11">
                  <c:v>1</c:v>
                </c:pt>
                <c:pt idx="12">
                  <c:v>1</c:v>
                </c:pt>
                <c:pt idx="13">
                  <c:v>1</c:v>
                </c:pt>
                <c:pt idx="14">
                  <c:v>1</c:v>
                </c:pt>
                <c:pt idx="15">
                  <c:v>1</c:v>
                </c:pt>
                <c:pt idx="16">
                  <c:v>1</c:v>
                </c:pt>
                <c:pt idx="17">
                  <c:v>1</c:v>
                </c:pt>
                <c:pt idx="18">
                  <c:v>1</c:v>
                </c:pt>
                <c:pt idx="19">
                  <c:v>1</c:v>
                </c:pt>
                <c:pt idx="20">
                  <c:v>2</c:v>
                </c:pt>
                <c:pt idx="21">
                  <c:v>2</c:v>
                </c:pt>
                <c:pt idx="22">
                  <c:v>2</c:v>
                </c:pt>
                <c:pt idx="23">
                  <c:v>2</c:v>
                </c:pt>
                <c:pt idx="24">
                  <c:v>2</c:v>
                </c:pt>
                <c:pt idx="25">
                  <c:v>3</c:v>
                </c:pt>
                <c:pt idx="26">
                  <c:v>3</c:v>
                </c:pt>
                <c:pt idx="27">
                  <c:v>3</c:v>
                </c:pt>
                <c:pt idx="28">
                  <c:v>3</c:v>
                </c:pt>
                <c:pt idx="29">
                  <c:v>3</c:v>
                </c:pt>
              </c:numCache>
            </c:numRef>
          </c:val>
          <c:smooth val="0"/>
        </c:ser>
        <c:ser>
          <c:idx val="2"/>
          <c:order val="2"/>
          <c:tx>
            <c:v>RR 0.01</c:v>
          </c:tx>
          <c:val>
            <c:numRef>
              <c:f>data!$E$62:$E$91</c:f>
              <c:numCache>
                <c:formatCode>General</c:formatCode>
                <c:ptCount val="30"/>
                <c:pt idx="0">
                  <c:v>0</c:v>
                </c:pt>
                <c:pt idx="1">
                  <c:v>1</c:v>
                </c:pt>
                <c:pt idx="2">
                  <c:v>1</c:v>
                </c:pt>
                <c:pt idx="3">
                  <c:v>1</c:v>
                </c:pt>
                <c:pt idx="4">
                  <c:v>1</c:v>
                </c:pt>
                <c:pt idx="5">
                  <c:v>1</c:v>
                </c:pt>
                <c:pt idx="6">
                  <c:v>1</c:v>
                </c:pt>
                <c:pt idx="7">
                  <c:v>1</c:v>
                </c:pt>
                <c:pt idx="8">
                  <c:v>2</c:v>
                </c:pt>
                <c:pt idx="9">
                  <c:v>2</c:v>
                </c:pt>
                <c:pt idx="10">
                  <c:v>3</c:v>
                </c:pt>
                <c:pt idx="11">
                  <c:v>4</c:v>
                </c:pt>
                <c:pt idx="12">
                  <c:v>7</c:v>
                </c:pt>
                <c:pt idx="13">
                  <c:v>23</c:v>
                </c:pt>
                <c:pt idx="14">
                  <c:v>264</c:v>
                </c:pt>
                <c:pt idx="15">
                  <c:v>609</c:v>
                </c:pt>
                <c:pt idx="16">
                  <c:v>955</c:v>
                </c:pt>
                <c:pt idx="17">
                  <c:v>1301</c:v>
                </c:pt>
                <c:pt idx="18">
                  <c:v>1647</c:v>
                </c:pt>
                <c:pt idx="19">
                  <c:v>1989</c:v>
                </c:pt>
                <c:pt idx="20">
                  <c:v>2327</c:v>
                </c:pt>
                <c:pt idx="21">
                  <c:v>2674</c:v>
                </c:pt>
                <c:pt idx="22">
                  <c:v>3020</c:v>
                </c:pt>
                <c:pt idx="23">
                  <c:v>3372</c:v>
                </c:pt>
                <c:pt idx="24">
                  <c:v>3720</c:v>
                </c:pt>
                <c:pt idx="25">
                  <c:v>4066</c:v>
                </c:pt>
                <c:pt idx="26">
                  <c:v>4417</c:v>
                </c:pt>
                <c:pt idx="27">
                  <c:v>4761</c:v>
                </c:pt>
                <c:pt idx="28">
                  <c:v>5119</c:v>
                </c:pt>
                <c:pt idx="29">
                  <c:v>5463</c:v>
                </c:pt>
              </c:numCache>
            </c:numRef>
          </c:val>
          <c:smooth val="0"/>
        </c:ser>
        <c:ser>
          <c:idx val="3"/>
          <c:order val="3"/>
          <c:tx>
            <c:v>RR 0.2</c:v>
          </c:tx>
          <c:val>
            <c:numRef>
              <c:f>data!$E$92:$E$116</c:f>
              <c:numCache>
                <c:formatCode>General</c:formatCode>
                <c:ptCount val="25"/>
                <c:pt idx="0">
                  <c:v>0</c:v>
                </c:pt>
                <c:pt idx="1">
                  <c:v>1</c:v>
                </c:pt>
                <c:pt idx="2">
                  <c:v>2</c:v>
                </c:pt>
                <c:pt idx="3">
                  <c:v>182</c:v>
                </c:pt>
                <c:pt idx="4">
                  <c:v>1454</c:v>
                </c:pt>
                <c:pt idx="5">
                  <c:v>2726</c:v>
                </c:pt>
                <c:pt idx="6">
                  <c:v>4008</c:v>
                </c:pt>
                <c:pt idx="7">
                  <c:v>5296</c:v>
                </c:pt>
                <c:pt idx="8">
                  <c:v>6588</c:v>
                </c:pt>
                <c:pt idx="9">
                  <c:v>7853</c:v>
                </c:pt>
                <c:pt idx="10">
                  <c:v>9211</c:v>
                </c:pt>
                <c:pt idx="11">
                  <c:v>10490</c:v>
                </c:pt>
                <c:pt idx="12">
                  <c:v>11741</c:v>
                </c:pt>
                <c:pt idx="13">
                  <c:v>13115</c:v>
                </c:pt>
                <c:pt idx="14">
                  <c:v>14456</c:v>
                </c:pt>
                <c:pt idx="15">
                  <c:v>15657</c:v>
                </c:pt>
                <c:pt idx="16">
                  <c:v>16986</c:v>
                </c:pt>
                <c:pt idx="17">
                  <c:v>18319</c:v>
                </c:pt>
                <c:pt idx="18">
                  <c:v>19649</c:v>
                </c:pt>
                <c:pt idx="19">
                  <c:v>20969</c:v>
                </c:pt>
                <c:pt idx="20">
                  <c:v>22248</c:v>
                </c:pt>
                <c:pt idx="21">
                  <c:v>23441</c:v>
                </c:pt>
                <c:pt idx="22">
                  <c:v>24869</c:v>
                </c:pt>
                <c:pt idx="23">
                  <c:v>26156</c:v>
                </c:pt>
                <c:pt idx="24">
                  <c:v>27479</c:v>
                </c:pt>
              </c:numCache>
            </c:numRef>
          </c:val>
          <c:smooth val="0"/>
        </c:ser>
        <c:ser>
          <c:idx val="4"/>
          <c:order val="4"/>
          <c:tx>
            <c:v>STRF</c:v>
          </c:tx>
          <c:val>
            <c:numRef>
              <c:f>data!$E$122:$E$151</c:f>
              <c:numCache>
                <c:formatCode>General</c:formatCode>
                <c:ptCount val="30"/>
                <c:pt idx="0">
                  <c:v>0</c:v>
                </c:pt>
                <c:pt idx="1">
                  <c:v>5</c:v>
                </c:pt>
                <c:pt idx="2">
                  <c:v>21</c:v>
                </c:pt>
                <c:pt idx="3">
                  <c:v>57</c:v>
                </c:pt>
                <c:pt idx="4">
                  <c:v>81</c:v>
                </c:pt>
                <c:pt idx="5">
                  <c:v>138</c:v>
                </c:pt>
                <c:pt idx="6">
                  <c:v>216</c:v>
                </c:pt>
                <c:pt idx="7">
                  <c:v>302</c:v>
                </c:pt>
                <c:pt idx="8">
                  <c:v>374</c:v>
                </c:pt>
                <c:pt idx="9">
                  <c:v>466</c:v>
                </c:pt>
                <c:pt idx="10">
                  <c:v>547</c:v>
                </c:pt>
                <c:pt idx="11">
                  <c:v>651</c:v>
                </c:pt>
                <c:pt idx="12">
                  <c:v>727</c:v>
                </c:pt>
                <c:pt idx="13">
                  <c:v>848</c:v>
                </c:pt>
                <c:pt idx="14">
                  <c:v>955</c:v>
                </c:pt>
                <c:pt idx="15">
                  <c:v>1037</c:v>
                </c:pt>
                <c:pt idx="16">
                  <c:v>1143</c:v>
                </c:pt>
                <c:pt idx="17">
                  <c:v>1260</c:v>
                </c:pt>
                <c:pt idx="18">
                  <c:v>1314</c:v>
                </c:pt>
                <c:pt idx="19">
                  <c:v>1416</c:v>
                </c:pt>
                <c:pt idx="20">
                  <c:v>1563</c:v>
                </c:pt>
                <c:pt idx="21">
                  <c:v>1665</c:v>
                </c:pt>
                <c:pt idx="22">
                  <c:v>1763</c:v>
                </c:pt>
                <c:pt idx="23">
                  <c:v>1870</c:v>
                </c:pt>
                <c:pt idx="24">
                  <c:v>1912</c:v>
                </c:pt>
                <c:pt idx="25">
                  <c:v>2060</c:v>
                </c:pt>
                <c:pt idx="26">
                  <c:v>2167</c:v>
                </c:pt>
                <c:pt idx="27">
                  <c:v>2307</c:v>
                </c:pt>
                <c:pt idx="28">
                  <c:v>2357</c:v>
                </c:pt>
                <c:pt idx="29">
                  <c:v>2484</c:v>
                </c:pt>
              </c:numCache>
            </c:numRef>
          </c:val>
          <c:smooth val="0"/>
        </c:ser>
        <c:dLbls>
          <c:showLegendKey val="0"/>
          <c:showVal val="0"/>
          <c:showCatName val="0"/>
          <c:showSerName val="0"/>
          <c:showPercent val="0"/>
          <c:showBubbleSize val="0"/>
        </c:dLbls>
        <c:marker val="1"/>
        <c:smooth val="0"/>
        <c:axId val="45870464"/>
        <c:axId val="47240704"/>
      </c:lineChart>
      <c:catAx>
        <c:axId val="45870464"/>
        <c:scaling>
          <c:orientation val="minMax"/>
        </c:scaling>
        <c:delete val="0"/>
        <c:axPos val="b"/>
        <c:title>
          <c:tx>
            <c:rich>
              <a:bodyPr/>
              <a:lstStyle/>
              <a:p>
                <a:pPr>
                  <a:defRPr/>
                </a:pPr>
                <a:r>
                  <a:rPr lang="en-US"/>
                  <a:t>Lambda</a:t>
                </a:r>
              </a:p>
            </c:rich>
          </c:tx>
          <c:overlay val="0"/>
        </c:title>
        <c:numFmt formatCode="General" sourceLinked="1"/>
        <c:majorTickMark val="in"/>
        <c:minorTickMark val="none"/>
        <c:tickLblPos val="nextTo"/>
        <c:crossAx val="47240704"/>
        <c:crosses val="autoZero"/>
        <c:auto val="1"/>
        <c:lblAlgn val="ctr"/>
        <c:lblOffset val="30"/>
        <c:tickLblSkip val="1"/>
        <c:noMultiLvlLbl val="0"/>
      </c:catAx>
      <c:valAx>
        <c:axId val="47240704"/>
        <c:scaling>
          <c:orientation val="minMax"/>
        </c:scaling>
        <c:delete val="0"/>
        <c:axPos val="l"/>
        <c:majorGridlines/>
        <c:title>
          <c:tx>
            <c:rich>
              <a:bodyPr rot="-5400000" vert="horz"/>
              <a:lstStyle/>
              <a:p>
                <a:pPr>
                  <a:defRPr/>
                </a:pPr>
                <a:r>
                  <a:rPr lang="en-US"/>
                  <a:t>Average Ready Queue Size</a:t>
                </a:r>
              </a:p>
            </c:rich>
          </c:tx>
          <c:overlay val="0"/>
        </c:title>
        <c:numFmt formatCode="General" sourceLinked="1"/>
        <c:majorTickMark val="out"/>
        <c:minorTickMark val="none"/>
        <c:tickLblPos val="nextTo"/>
        <c:crossAx val="458704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Williams</dc:creator>
  <cp:keywords/>
  <dc:description/>
  <cp:lastModifiedBy>Matthew Williams</cp:lastModifiedBy>
  <cp:revision>10</cp:revision>
  <dcterms:created xsi:type="dcterms:W3CDTF">2015-11-02T20:05:00Z</dcterms:created>
  <dcterms:modified xsi:type="dcterms:W3CDTF">2015-11-02T20:43:00Z</dcterms:modified>
</cp:coreProperties>
</file>