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9" w:name="content"/>
    <w:bookmarkStart w:id="28" w:name="pr1.5-refinements-document"/>
    <w:p>
      <w:pPr>
        <w:pStyle w:val="Heading1"/>
      </w:pPr>
      <w:r>
        <w:t xml:space="preserve">PR1.5 Refinements Document</w:t>
      </w:r>
    </w:p>
    <w:p>
      <w:pPr>
        <w:pStyle w:val="FirstParagraph"/>
      </w:pPr>
      <w:r>
        <w:t xml:space="preserve">This document captures light refinements recommended to tighten the PR1.5 deliverable and improve clarity and reviewability.</w:t>
      </w:r>
    </w:p>
    <w:bookmarkStart w:id="21" w:name="Xd3d4d25dc1ef0cd9a743b5dbbadae0d6fc2c58d"/>
    <w:p>
      <w:pPr>
        <w:pStyle w:val="Heading2"/>
      </w:pPr>
      <w:r>
        <w:t xml:space="preserve">Refinement 1 — Explicitly Declare UI Deprecation of Legacy Chat</w:t>
      </w:r>
    </w:p>
    <w:p>
      <w:pPr>
        <w:pStyle w:val="FirstParagraph"/>
      </w:pPr>
      <w:r>
        <w:t xml:space="preserve">Add to PR1.5 Product PRD:</w:t>
      </w:r>
    </w:p>
    <w:p>
      <w:pPr>
        <w:pStyle w:val="BlockText"/>
      </w:pPr>
      <w:r>
        <w:rPr>
          <w:b/>
          <w:bCs/>
        </w:rPr>
        <w:t xml:space="preserve">“After PR1.5, no user‑facing chat UI paths route through the legacy Go LLM stack (</w:t>
      </w:r>
      <w:r>
        <w:rPr>
          <w:rStyle w:val="VerbatimChar"/>
          <w:b/>
          <w:bCs/>
        </w:rPr>
        <w:t xml:space="preserve">pkg/llm/*</w:t>
      </w:r>
      <w:r>
        <w:rPr>
          <w:b/>
          <w:bCs/>
        </w:rPr>
        <w:t xml:space="preserve">).</w:t>
      </w:r>
      <w:r>
        <w:br/>
      </w:r>
      <w:r>
        <w:rPr>
          <w:b/>
          <w:bCs/>
        </w:rPr>
        <w:t xml:space="preserve">The only chat interface available in the product is the AI SDK–powered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/api/chat</w:t>
      </w:r>
      <w:r>
        <w:rPr>
          <w:b/>
          <w:bCs/>
        </w:rPr>
        <w:t xml:space="preserve"> </w:t>
      </w:r>
      <w:r>
        <w:rPr>
          <w:b/>
          <w:bCs/>
        </w:rPr>
        <w:t xml:space="preserve">route.”</w:t>
      </w:r>
    </w:p>
    <w:p>
      <w:pPr>
        <w:pStyle w:val="FirstParagraph"/>
      </w:pPr>
      <w:r>
        <w:t xml:space="preserve">This makes “one chat path” explicit.</w:t>
      </w:r>
    </w:p>
    <w:bookmarkEnd w:id="21"/>
    <w:bookmarkStart w:id="22" w:name="X49241606967fd62bc90c7862bd92c1bfff5349a"/>
    <w:p>
      <w:pPr>
        <w:pStyle w:val="Heading2"/>
      </w:pPr>
      <w:r>
        <w:t xml:space="preserve">Refinement 2 — Add a Security &amp; Auth Note for Go Tool Endpoints</w:t>
      </w:r>
    </w:p>
    <w:p>
      <w:pPr>
        <w:pStyle w:val="FirstParagraph"/>
      </w:pPr>
      <w:r>
        <w:t xml:space="preserve">Add:</w:t>
      </w:r>
    </w:p>
    <w:p>
      <w:pPr>
        <w:pStyle w:val="BlockText"/>
      </w:pPr>
      <w:r>
        <w:rPr>
          <w:b/>
          <w:bCs/>
        </w:rPr>
        <w:t xml:space="preserve">“All PR1.5 Go HTTP tool endpoints (</w:t>
      </w:r>
      <w:r>
        <w:rPr>
          <w:rStyle w:val="VerbatimChar"/>
          <w:b/>
          <w:bCs/>
        </w:rPr>
        <w:t xml:space="preserve">/api/tools/...</w:t>
      </w:r>
      <w:r>
        <w:rPr>
          <w:b/>
          <w:bCs/>
        </w:rPr>
        <w:t xml:space="preserve">) will enforce existing workspace ownership and authentication middleware. Only the owner or authorized collaborators may modify or read workspace resources.”</w:t>
      </w:r>
    </w:p>
    <w:p>
      <w:pPr>
        <w:pStyle w:val="FirstParagraph"/>
      </w:pPr>
      <w:r>
        <w:t xml:space="preserve">This keeps reviewers confident that new entrypoints don’t bypass security.</w:t>
      </w:r>
    </w:p>
    <w:bookmarkEnd w:id="22"/>
    <w:bookmarkStart w:id="23" w:name="X426699993a18f3142bb28017dce5fc1d20034c5"/>
    <w:p>
      <w:pPr>
        <w:pStyle w:val="Heading2"/>
      </w:pPr>
      <w:r>
        <w:t xml:space="preserve">Refinement 3 — Specify Error Response Structure</w:t>
      </w:r>
    </w:p>
    <w:p>
      <w:pPr>
        <w:pStyle w:val="FirstParagraph"/>
      </w:pPr>
      <w:r>
        <w:t xml:space="preserve">Add:</w:t>
      </w:r>
    </w:p>
    <w:p>
      <w:pPr>
        <w:pStyle w:val="BlockText"/>
      </w:pPr>
      <w:r>
        <w:rPr>
          <w:b/>
          <w:bCs/>
        </w:rPr>
        <w:t xml:space="preserve">“Every Go tool handler returns structured errors in the shape:</w:t>
      </w:r>
      <w:r>
        <w:br/>
      </w:r>
      <w:r>
        <w:rPr>
          <w:rStyle w:val="VerbatimChar"/>
          <w:b/>
          <w:bCs/>
        </w:rPr>
        <w:t xml:space="preserve">{ "success": false, "message": "error text" }</w:t>
      </w:r>
      <w:r>
        <w:br/>
      </w:r>
      <w:r>
        <w:rPr>
          <w:b/>
          <w:bCs/>
        </w:rPr>
        <w:t xml:space="preserve">The AI SDK route will surface these errors to users in a readable assistant message.”</w:t>
      </w:r>
    </w:p>
    <w:p>
      <w:pPr>
        <w:pStyle w:val="FirstParagraph"/>
      </w:pPr>
      <w:r>
        <w:t xml:space="preserve">Ensures consistent error UX.</w:t>
      </w:r>
    </w:p>
    <w:bookmarkEnd w:id="23"/>
    <w:bookmarkStart w:id="24" w:name="X776cb36a5804223162b9340f77e19804621441f"/>
    <w:p>
      <w:pPr>
        <w:pStyle w:val="Heading2"/>
      </w:pPr>
      <w:r>
        <w:t xml:space="preserve">Refinement 4 — Clarify Reuse of Existing Workspace Logic</w:t>
      </w:r>
    </w:p>
    <w:p>
      <w:pPr>
        <w:pStyle w:val="FirstParagraph"/>
      </w:pPr>
      <w:r>
        <w:t xml:space="preserve">To reassure reviewers:</w:t>
      </w:r>
    </w:p>
    <w:p>
      <w:pPr>
        <w:pStyle w:val="BlockText"/>
      </w:pPr>
      <w:r>
        <w:rPr>
          <w:b/>
          <w:bCs/>
        </w:rPr>
        <w:t xml:space="preserve">“Chart creation, revision creation, file writes, and event notifications all reuse existing production‑stable Go functions (e.g.,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CreateWorkspace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CreateInitialRevision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ApplyPatch</w:t>
      </w:r>
      <w:r>
        <w:rPr>
          <w:b/>
          <w:bCs/>
        </w:rPr>
        <w:t xml:space="preserve">).</w:t>
      </w:r>
      <w:r>
        <w:br/>
      </w:r>
      <w:r>
        <w:rPr>
          <w:b/>
          <w:bCs/>
        </w:rPr>
        <w:t xml:space="preserve">We do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fork or duplicate workspace logic.”</w:t>
      </w:r>
    </w:p>
    <w:p>
      <w:pPr>
        <w:pStyle w:val="FirstParagraph"/>
      </w:pPr>
      <w:r>
        <w:t xml:space="preserve">Good for maintainability.</w:t>
      </w:r>
    </w:p>
    <w:bookmarkEnd w:id="24"/>
    <w:bookmarkStart w:id="25" w:name="X96a2f0baa7534da7fb802ff40fbe1958d731f38"/>
    <w:p>
      <w:pPr>
        <w:pStyle w:val="Heading2"/>
      </w:pPr>
      <w:r>
        <w:t xml:space="preserve">Refinement 5 — Add One‑Sentence Rationale for Dropping Go→LLM Calls</w:t>
      </w:r>
    </w:p>
    <w:p>
      <w:pPr>
        <w:pStyle w:val="FirstParagraph"/>
      </w:pPr>
      <w:r>
        <w:t xml:space="preserve">Add:</w:t>
      </w:r>
    </w:p>
    <w:p>
      <w:pPr>
        <w:pStyle w:val="BlockText"/>
      </w:pPr>
      <w:r>
        <w:rPr>
          <w:b/>
          <w:bCs/>
        </w:rPr>
        <w:t xml:space="preserve">“Go no longer performs any LLM reasoning after PR1.5; all intelligence (planning, tool invocation) is handled in the AI SDK layer.</w:t>
      </w:r>
      <w:r>
        <w:br/>
      </w:r>
      <w:r>
        <w:rPr>
          <w:b/>
          <w:bCs/>
        </w:rPr>
        <w:t xml:space="preserve">Go becomes a clean service layer responsible only for deterministic CRUD and file operations.”</w:t>
      </w:r>
    </w:p>
    <w:p>
      <w:pPr>
        <w:pStyle w:val="FirstParagraph"/>
      </w:pPr>
      <w:r>
        <w:t xml:space="preserve">This explains why gateway removal is a simplification, not a deficiency.</w:t>
      </w:r>
    </w:p>
    <w:bookmarkEnd w:id="25"/>
    <w:bookmarkStart w:id="26" w:name="Xf14e048fe9ffb5d6130a49d28694941456b68a0"/>
    <w:p>
      <w:pPr>
        <w:pStyle w:val="Heading2"/>
      </w:pPr>
      <w:r>
        <w:t xml:space="preserve">Refinement 6 — Add Success Metric About Tool Invocation</w:t>
      </w:r>
    </w:p>
    <w:p>
      <w:pPr>
        <w:pStyle w:val="FirstParagraph"/>
      </w:pPr>
      <w:r>
        <w:t xml:space="preserve">To the Success Criteria section, add:</w:t>
      </w:r>
    </w:p>
    <w:p>
      <w:pPr>
        <w:pStyle w:val="BlockText"/>
      </w:pPr>
      <w:r>
        <w:rPr>
          <w:b/>
          <w:bCs/>
        </w:rPr>
        <w:t xml:space="preserve">“AI SDK chat must invoke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createChart</w:t>
      </w:r>
      <w:r>
        <w:rPr>
          <w:b/>
          <w:bCs/>
        </w:rPr>
        <w:t xml:space="preserve"> </w:t>
      </w:r>
      <w:r>
        <w:rPr>
          <w:b/>
          <w:bCs/>
        </w:rPr>
        <w:t xml:space="preserve">for a new‑chart conversation, and Go must create a valid workspace.</w:t>
      </w:r>
      <w:r>
        <w:br/>
      </w:r>
      <w:r>
        <w:rPr>
          <w:b/>
          <w:bCs/>
        </w:rPr>
        <w:t xml:space="preserve">This is validated via integration test.”</w:t>
      </w:r>
    </w:p>
    <w:p>
      <w:pPr>
        <w:pStyle w:val="FirstParagraph"/>
      </w:pPr>
      <w:r>
        <w:t xml:space="preserve">Echoes the spec requirement: “Demonstrate creating a new chart via chat.”</w:t>
      </w:r>
    </w:p>
    <w:bookmarkEnd w:id="26"/>
    <w:bookmarkStart w:id="27" w:name="X0f76c7b194ef84e41e21d09eec4bcf60aec9268"/>
    <w:p>
      <w:pPr>
        <w:pStyle w:val="Heading2"/>
      </w:pPr>
      <w:r>
        <w:t xml:space="preserve">Refinement 7 — Add Optional Future Cleanup Section</w:t>
      </w:r>
    </w:p>
    <w:p>
      <w:pPr>
        <w:pStyle w:val="FirstParagraph"/>
      </w:pPr>
      <w:r>
        <w:t xml:space="preserve">Not required in PR1.5, but nice to state:</w:t>
      </w:r>
    </w:p>
    <w:p>
      <w:pPr>
        <w:pStyle w:val="BlockText"/>
      </w:pPr>
      <w:r>
        <w:rPr>
          <w:b/>
          <w:bCs/>
        </w:rPr>
        <w:t xml:space="preserve">“In a later PR (post‑PR2), the deprecated Go LLM stack (</w:t>
      </w:r>
      <w:r>
        <w:rPr>
          <w:rStyle w:val="VerbatimChar"/>
          <w:b/>
          <w:bCs/>
        </w:rPr>
        <w:t xml:space="preserve">pkg/llm/*</w:t>
      </w:r>
      <w:r>
        <w:rPr>
          <w:b/>
          <w:bCs/>
        </w:rPr>
        <w:t xml:space="preserve">) may be removed entirely once all call sites are eliminated.”</w:t>
      </w:r>
    </w:p>
    <w:p>
      <w:pPr>
        <w:pStyle w:val="FirstParagraph"/>
      </w:pPr>
      <w:r>
        <w:t xml:space="preserve">Signals a long‑term path to a cleaner codebase.</w:t>
      </w:r>
    </w:p>
    <w:bookmarkEnd w:id="27"/>
    <w:bookmarkEnd w:id="28"/>
    <w:bookmarkEnd w:id="29"/>
    <w:p>
      <w:r>
        <w:pict>
          <v:rect style="width:0;height:1.5pt" o:hralign="center" o:hrstd="t" o:hr="t"/>
        </w:pict>
      </w:r>
    </w:p>
    <w:bookmarkStart w:id="30" w:name="citations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2025-12-02T20:52:05Z</dcterms:created>
  <dcterms:modified xsi:type="dcterms:W3CDTF">2025-12-02T20:52:05Z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