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003A70"/>
          <w:spacing w:val="30"/>
          <w:sz w:val="34"/>
          <w:szCs w:val="34"/>
        </w:rPr>
        <w:t xml:space="preserve">KAYNA KAYNA PAY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D7285"/>
          <w:sz w:val="20"/>
          <w:szCs w:val="20"/>
        </w:rPr>
        <w:t xml:space="preserve">« Petit à petit, paye »  —  l'essentiel en 2 pages</w:t>
      </w:r>
    </w:p>
    <w:p>
      <w:pPr>
        <w:pBdr>
          <w:bottom w:val="single" w:color="005CA9" w:sz="12"/>
        </w:pBdr>
        <w:spacing w:after="240"/>
      </w:pPr>
      <w:r>
        <w:rPr>
          <w:sz w:val="4"/>
          <w:szCs w:val="4"/>
        </w:rPr>
        <w:t xml:space="preserve"/>
      </w:r>
    </w:p>
    <w:p>
      <w:pPr>
        <w:spacing w:after="130" w:before="260"/>
      </w:pPr>
      <w:r>
        <w:rPr>
          <w:rFonts w:ascii="Calibri" w:cs="Calibri" w:eastAsia="Calibri" w:hAnsi="Calibri"/>
          <w:b/>
          <w:bCs/>
          <w:color w:val="003A70"/>
          <w:sz w:val="24"/>
          <w:szCs w:val="24"/>
        </w:rPr>
        <w:t xml:space="preserve">1.  Le projet</w:t>
      </w:r>
    </w:p>
    <w:p>
      <w:pPr>
        <w:spacing w:after="120" w:line="276"/>
      </w:pPr>
      <w:r>
        <w:rPr>
          <w:rFonts w:ascii="Calibri" w:cs="Calibri" w:eastAsia="Calibri" w:hAnsi="Calibri"/>
          <w:color w:val="20344A"/>
          <w:sz w:val="20"/>
          <w:szCs w:val="20"/>
        </w:rPr>
        <w:t xml:space="preserve">Une application qui permet d'acheter un produit en le payant petit à petit par mobile money, et de le recevoir une fois qu'il est entièrement payé. </w:t>
      </w:r>
      <w:r>
        <w:rPr>
          <w:rFonts w:ascii="Calibri" w:cs="Calibri" w:eastAsia="Calibri" w:hAnsi="Calibri"/>
          <w:b/>
          <w:bCs/>
          <w:color w:val="20344A"/>
          <w:sz w:val="20"/>
          <w:szCs w:val="20"/>
        </w:rPr>
        <w:t xml:space="preserve">L'argent reste chez Kayna Kayna Pay jusqu'à la livraison</w:t>
      </w:r>
      <w:r>
        <w:rPr>
          <w:rFonts w:ascii="Calibri" w:cs="Calibri" w:eastAsia="Calibri" w:hAnsi="Calibri"/>
          <w:color w:val="20344A"/>
          <w:sz w:val="20"/>
          <w:szCs w:val="20"/>
        </w:rPr>
        <w:t xml:space="preserve"> : le client est sûr de recevoir, le vendeur est sûr d'être payé.</w:t>
      </w:r>
    </w:p>
    <w:p>
      <w:pPr>
        <w:spacing w:after="200" w:line="276"/>
      </w:pPr>
      <w:r>
        <w:rPr>
          <w:rFonts w:ascii="Calibri" w:cs="Calibri" w:eastAsia="Calibri" w:hAnsi="Calibri"/>
          <w:color w:val="20344A"/>
          <w:sz w:val="20"/>
          <w:szCs w:val="20"/>
        </w:rPr>
        <w:t xml:space="preserve">Revenu : une commission de 5 % incluse dans le prix affiché. Un produit à 100 000 F chez le vendeur est affiché 105 000 F.</w:t>
      </w:r>
    </w:p>
    <w:p>
      <w:pPr>
        <w:spacing w:after="130" w:before="260"/>
      </w:pPr>
      <w:r>
        <w:rPr>
          <w:rFonts w:ascii="Calibri" w:cs="Calibri" w:eastAsia="Calibri" w:hAnsi="Calibri"/>
          <w:b/>
          <w:bCs/>
          <w:color w:val="003A70"/>
          <w:sz w:val="24"/>
          <w:szCs w:val="24"/>
        </w:rPr>
        <w:t xml:space="preserve">2.  Comment ça marche (le parcours)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8740"/>
      </w:tblGrid>
      <w:tr>
        <w:trPr>
          <w:tblHeader/>
        </w:trPr>
        <w:tc>
          <w:tcPr>
            <w:tcW w:type="dxa" w:w="620"/>
            <w:shd w:fill="EAF2FA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3A70"/>
                <w:sz w:val="17"/>
                <w:szCs w:val="17"/>
              </w:rPr>
              <w:t xml:space="preserve"/>
            </w:r>
          </w:p>
        </w:tc>
        <w:tc>
          <w:tcPr>
            <w:tcW w:type="dxa" w:w="8740"/>
            <w:shd w:fill="EAF2FA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3A70"/>
                <w:sz w:val="17"/>
                <w:szCs w:val="17"/>
              </w:rPr>
              <w:t xml:space="preserve">Ce qui se passe</w:t>
            </w:r>
          </w:p>
        </w:tc>
      </w:tr>
      <w:tr>
        <w:tc>
          <w:tcPr>
            <w:tcW w:type="dxa" w:w="62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50"/>
            </w:pPr>
            <w:r>
              <w:rPr>
                <w:rFonts w:ascii="Calibri" w:cs="Calibri" w:eastAsia="Calibri" w:hAnsi="Calibri"/>
                <w:b/>
                <w:bCs/>
                <w:color w:val="005CA9"/>
                <w:sz w:val="18"/>
                <w:szCs w:val="18"/>
              </w:rPr>
              <w:t xml:space="preserve">1</w:t>
            </w:r>
          </w:p>
        </w:tc>
        <w:tc>
          <w:tcPr>
            <w:tcW w:type="dxa" w:w="874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0344A"/>
                <w:sz w:val="18"/>
                <w:szCs w:val="18"/>
              </w:rPr>
              <w:t xml:space="preserve">Le client choisit un produit et ouvre un « portefeuille » à 0 F.</w:t>
            </w:r>
          </w:p>
        </w:tc>
      </w:tr>
      <w:tr>
        <w:tc>
          <w:tcPr>
            <w:tcW w:type="dxa" w:w="62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50"/>
            </w:pPr>
            <w:r>
              <w:rPr>
                <w:rFonts w:ascii="Calibri" w:cs="Calibri" w:eastAsia="Calibri" w:hAnsi="Calibri"/>
                <w:b/>
                <w:bCs/>
                <w:color w:val="005CA9"/>
                <w:sz w:val="18"/>
                <w:szCs w:val="18"/>
              </w:rPr>
              <w:t xml:space="preserve">2</w:t>
            </w:r>
          </w:p>
        </w:tc>
        <w:tc>
          <w:tcPr>
            <w:tcW w:type="dxa" w:w="874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0344A"/>
                <w:sz w:val="18"/>
                <w:szCs w:val="18"/>
              </w:rPr>
              <w:t xml:space="preserve">Il déclare un versement (dès 100 F). L'app lui donne le numéro de dépôt et une référence unique.</w:t>
            </w:r>
          </w:p>
        </w:tc>
      </w:tr>
      <w:tr>
        <w:tc>
          <w:tcPr>
            <w:tcW w:type="dxa" w:w="62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50"/>
            </w:pPr>
            <w:r>
              <w:rPr>
                <w:rFonts w:ascii="Calibri" w:cs="Calibri" w:eastAsia="Calibri" w:hAnsi="Calibri"/>
                <w:b/>
                <w:bCs/>
                <w:color w:val="005CA9"/>
                <w:sz w:val="18"/>
                <w:szCs w:val="18"/>
              </w:rPr>
              <w:t xml:space="preserve">3</w:t>
            </w:r>
          </w:p>
        </w:tc>
        <w:tc>
          <w:tcPr>
            <w:tcW w:type="dxa" w:w="874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0344A"/>
                <w:sz w:val="18"/>
                <w:szCs w:val="18"/>
              </w:rPr>
              <w:t xml:space="preserve">Il dépose par NITA / Amana / Wave, puis appuie sur « j'ai effectué le dépôt ».</w:t>
            </w:r>
          </w:p>
        </w:tc>
      </w:tr>
      <w:tr>
        <w:tc>
          <w:tcPr>
            <w:tcW w:type="dxa" w:w="62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50"/>
            </w:pPr>
            <w:r>
              <w:rPr>
                <w:rFonts w:ascii="Calibri" w:cs="Calibri" w:eastAsia="Calibri" w:hAnsi="Calibri"/>
                <w:b/>
                <w:bCs/>
                <w:color w:val="005CA9"/>
                <w:sz w:val="18"/>
                <w:szCs w:val="18"/>
              </w:rPr>
              <w:t xml:space="preserve">4</w:t>
            </w:r>
          </w:p>
        </w:tc>
        <w:tc>
          <w:tcPr>
            <w:tcW w:type="dxa" w:w="874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0344A"/>
                <w:sz w:val="18"/>
                <w:szCs w:val="18"/>
              </w:rPr>
              <w:t xml:space="preserve">Le versement apparaît instantanément chez votre équipe, qui vérifie le dépôt réel et valide.</w:t>
            </w:r>
          </w:p>
        </w:tc>
      </w:tr>
      <w:tr>
        <w:tc>
          <w:tcPr>
            <w:tcW w:type="dxa" w:w="62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50"/>
            </w:pPr>
            <w:r>
              <w:rPr>
                <w:rFonts w:ascii="Calibri" w:cs="Calibri" w:eastAsia="Calibri" w:hAnsi="Calibri"/>
                <w:b/>
                <w:bCs/>
                <w:color w:val="005CA9"/>
                <w:sz w:val="18"/>
                <w:szCs w:val="18"/>
              </w:rPr>
              <w:t xml:space="preserve">5</w:t>
            </w:r>
          </w:p>
        </w:tc>
        <w:tc>
          <w:tcPr>
            <w:tcW w:type="dxa" w:w="874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0344A"/>
                <w:sz w:val="18"/>
                <w:szCs w:val="18"/>
              </w:rPr>
              <w:t xml:space="preserve">Le portefeuille du client est crédité en temps réel. Au montant total : achat complété, produit remis.</w:t>
            </w:r>
          </w:p>
        </w:tc>
      </w:tr>
    </w:tbl>
    <w:p>
      <w:pPr>
        <w:spacing w:after="200" w:line="276"/>
      </w:pPr>
      <w:r>
        <w:rPr>
          <w:rFonts w:ascii="Calibri" w:cs="Calibri" w:eastAsia="Calibri" w:hAnsi="Calibri"/>
          <w:color w:val="20344A"/>
          <w:sz w:val="20"/>
          <w:szCs w:val="20"/>
        </w:rPr>
        <w:t xml:space="preserve"/>
      </w:r>
    </w:p>
    <w:p>
      <w:pPr>
        <w:spacing w:after="130" w:before="260"/>
      </w:pPr>
      <w:r>
        <w:rPr>
          <w:rFonts w:ascii="Calibri" w:cs="Calibri" w:eastAsia="Calibri" w:hAnsi="Calibri"/>
          <w:b/>
          <w:bCs/>
          <w:color w:val="003A70"/>
          <w:sz w:val="24"/>
          <w:szCs w:val="24"/>
        </w:rPr>
        <w:t xml:space="preserve">3.  Les trois morceaux techniques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4200"/>
        <w:gridCol w:w="2660"/>
      </w:tblGrid>
      <w:tr>
        <w:trPr>
          <w:tblHeader/>
        </w:trPr>
        <w:tc>
          <w:tcPr>
            <w:tcW w:type="dxa" w:w="2500"/>
            <w:shd w:fill="EAF2FA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3A70"/>
                <w:sz w:val="17"/>
                <w:szCs w:val="17"/>
              </w:rPr>
              <w:t xml:space="preserve">Morceau</w:t>
            </w:r>
          </w:p>
        </w:tc>
        <w:tc>
          <w:tcPr>
            <w:tcW w:type="dxa" w:w="4200"/>
            <w:shd w:fill="EAF2FA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3A70"/>
                <w:sz w:val="17"/>
                <w:szCs w:val="17"/>
              </w:rPr>
              <w:t xml:space="preserve">Rôle</w:t>
            </w:r>
          </w:p>
        </w:tc>
        <w:tc>
          <w:tcPr>
            <w:tcW w:type="dxa" w:w="2660"/>
            <w:shd w:fill="EAF2FA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3A70"/>
                <w:sz w:val="17"/>
                <w:szCs w:val="17"/>
              </w:rPr>
              <w:t xml:space="preserve">Analogie</w:t>
            </w:r>
          </w:p>
        </w:tc>
      </w:tr>
      <w:tr>
        <w:tc>
          <w:tcPr>
            <w:tcW w:type="dxa" w:w="25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0344A"/>
                <w:sz w:val="18"/>
                <w:szCs w:val="18"/>
              </w:rPr>
              <w:t xml:space="preserve">Application mobile</w:t>
            </w:r>
          </w:p>
        </w:tc>
        <w:tc>
          <w:tcPr>
            <w:tcW w:type="dxa" w:w="42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0344A"/>
                <w:sz w:val="18"/>
                <w:szCs w:val="18"/>
              </w:rPr>
              <w:t xml:space="preserve">Ce que voit le client</w:t>
            </w:r>
          </w:p>
        </w:tc>
        <w:tc>
          <w:tcPr>
            <w:tcW w:type="dxa" w:w="266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0344A"/>
                <w:sz w:val="18"/>
                <w:szCs w:val="18"/>
              </w:rPr>
              <w:t xml:space="preserve">La salle du restaurant</w:t>
            </w:r>
          </w:p>
        </w:tc>
      </w:tr>
      <w:tr>
        <w:tc>
          <w:tcPr>
            <w:tcW w:type="dxa" w:w="25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0344A"/>
                <w:sz w:val="18"/>
                <w:szCs w:val="18"/>
              </w:rPr>
              <w:t xml:space="preserve">Backend (le serveur)</w:t>
            </w:r>
          </w:p>
        </w:tc>
        <w:tc>
          <w:tcPr>
            <w:tcW w:type="dxa" w:w="42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0344A"/>
                <w:sz w:val="18"/>
                <w:szCs w:val="18"/>
              </w:rPr>
              <w:t xml:space="preserve">Toutes les règles, 36 entrées d'API</w:t>
            </w:r>
          </w:p>
        </w:tc>
        <w:tc>
          <w:tcPr>
            <w:tcW w:type="dxa" w:w="266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0344A"/>
                <w:sz w:val="18"/>
                <w:szCs w:val="18"/>
              </w:rPr>
              <w:t xml:space="preserve">La cuisine</w:t>
            </w:r>
          </w:p>
        </w:tc>
      </w:tr>
      <w:tr>
        <w:tc>
          <w:tcPr>
            <w:tcW w:type="dxa" w:w="25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0344A"/>
                <w:sz w:val="18"/>
                <w:szCs w:val="18"/>
              </w:rPr>
              <w:t xml:space="preserve">Base de données</w:t>
            </w:r>
          </w:p>
        </w:tc>
        <w:tc>
          <w:tcPr>
            <w:tcW w:type="dxa" w:w="42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0344A"/>
                <w:sz w:val="18"/>
                <w:szCs w:val="18"/>
              </w:rPr>
              <w:t xml:space="preserve">La mémoire, 13 tables</w:t>
            </w:r>
          </w:p>
        </w:tc>
        <w:tc>
          <w:tcPr>
            <w:tcW w:type="dxa" w:w="266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0344A"/>
                <w:sz w:val="18"/>
                <w:szCs w:val="18"/>
              </w:rPr>
              <w:t xml:space="preserve">Le garde-manger</w:t>
            </w:r>
          </w:p>
        </w:tc>
      </w:tr>
    </w:tbl>
    <w:p>
      <w:pPr>
        <w:spacing w:after="100" w:line="276"/>
      </w:pPr>
      <w:r>
        <w:rPr>
          <w:rFonts w:ascii="Calibri" w:cs="Calibri" w:eastAsia="Calibri" w:hAnsi="Calibri"/>
          <w:color w:val="20344A"/>
          <w:sz w:val="20"/>
          <w:szCs w:val="20"/>
        </w:rPr>
        <w:t xml:space="preserve"/>
      </w:r>
    </w:p>
    <w:p>
      <w:pPr>
        <w:spacing w:after="200" w:line="276"/>
      </w:pPr>
      <w:r>
        <w:rPr>
          <w:rFonts w:ascii="Calibri" w:cs="Calibri" w:eastAsia="Calibri" w:hAnsi="Calibri"/>
          <w:b/>
          <w:bCs/>
          <w:color w:val="20344A"/>
          <w:sz w:val="20"/>
          <w:szCs w:val="20"/>
        </w:rPr>
        <w:t xml:space="preserve">Règle absolue : </w:t>
      </w:r>
      <w:r>
        <w:rPr>
          <w:rFonts w:ascii="Calibri" w:cs="Calibri" w:eastAsia="Calibri" w:hAnsi="Calibri"/>
          <w:color w:val="20344A"/>
          <w:sz w:val="20"/>
          <w:szCs w:val="20"/>
        </w:rPr>
        <w:t xml:space="preserve">rien ne parle jamais directement à la base. Tout passe par le backend, qui vérifie tout — parce qu'un téléphone peut être trafiqué, un serveur non.</w:t>
      </w:r>
    </w:p>
    <w:p>
      <w:pPr>
        <w:spacing w:after="130" w:before="260"/>
      </w:pPr>
      <w:r>
        <w:rPr>
          <w:rFonts w:ascii="Calibri" w:cs="Calibri" w:eastAsia="Calibri" w:hAnsi="Calibri"/>
          <w:b/>
          <w:bCs/>
          <w:color w:val="003A70"/>
          <w:sz w:val="24"/>
          <w:szCs w:val="24"/>
        </w:rPr>
        <w:t xml:space="preserve">4.  Les trois règles qui protègent l'argent</w:t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2F8FD" w:val="clear"/>
            <w:tcMar>
              <w:top w:type="dxa" w:w="130"/>
              <w:left w:type="dxa" w:w="180"/>
              <w:bottom w:type="dxa" w:w="130"/>
              <w:right w:type="dxa" w:w="180"/>
            </w:tcMar>
          </w:tcPr>
          <w:p>
            <w:pPr>
              <w:spacing w:after="70"/>
            </w:pPr>
            <w:r>
              <w:rPr>
                <w:rFonts w:ascii="Calibri" w:cs="Calibri" w:eastAsia="Calibri" w:hAnsi="Calibri"/>
                <w:b/>
                <w:bCs/>
                <w:color w:val="005CA9"/>
                <w:spacing w:val="20"/>
                <w:sz w:val="17"/>
                <w:szCs w:val="17"/>
              </w:rPr>
              <w:t xml:space="preserve">CE QUI REND LE SYSTÈME FIABLE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70" w:line="276"/>
            </w:pPr>
            <w:r>
              <w:rPr>
                <w:rFonts w:ascii="Calibri" w:cs="Calibri" w:eastAsia="Calibri" w:hAnsi="Calibri"/>
                <w:b/>
                <w:bCs/>
                <w:color w:val="20344A"/>
                <w:sz w:val="20"/>
                <w:szCs w:val="20"/>
              </w:rPr>
              <w:t xml:space="preserve">Une écriture validée ne change plus jamais. </w:t>
            </w:r>
            <w:r>
              <w:rPr>
                <w:rFonts w:ascii="Calibri" w:cs="Calibri" w:eastAsia="Calibri" w:hAnsi="Calibri"/>
                <w:color w:val="20344A"/>
                <w:sz w:val="20"/>
                <w:szCs w:val="20"/>
              </w:rPr>
              <w:t xml:space="preserve">Une erreur se corrige par une nouvelle ligne signée, jamais par une gomme.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70" w:line="276"/>
            </w:pPr>
            <w:r>
              <w:rPr>
                <w:rFonts w:ascii="Calibri" w:cs="Calibri" w:eastAsia="Calibri" w:hAnsi="Calibri"/>
                <w:b/>
                <w:bCs/>
                <w:color w:val="20344A"/>
                <w:sz w:val="20"/>
                <w:szCs w:val="20"/>
              </w:rPr>
              <w:t xml:space="preserve">Le solde n'est jamais saisi, il est recalculé </w:t>
            </w:r>
            <w:r>
              <w:rPr>
                <w:rFonts w:ascii="Calibri" w:cs="Calibri" w:eastAsia="Calibri" w:hAnsi="Calibri"/>
                <w:color w:val="20344A"/>
                <w:sz w:val="20"/>
                <w:szCs w:val="20"/>
              </w:rPr>
              <w:t xml:space="preserve">depuis toutes les écritures. Un solde faux est donc réparable.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70" w:line="276"/>
            </w:pPr>
            <w:r>
              <w:rPr>
                <w:rFonts w:ascii="Calibri" w:cs="Calibri" w:eastAsia="Calibri" w:hAnsi="Calibri"/>
                <w:b/>
                <w:bCs/>
                <w:color w:val="20344A"/>
                <w:sz w:val="20"/>
                <w:szCs w:val="20"/>
              </w:rPr>
              <w:t xml:space="preserve">Les interdits sont posés dans la base, pas seulement dans le code. </w:t>
            </w:r>
            <w:r>
              <w:rPr>
                <w:rFonts w:ascii="Calibri" w:cs="Calibri" w:eastAsia="Calibri" w:hAnsi="Calibri"/>
                <w:color w:val="20344A"/>
                <w:sz w:val="20"/>
                <w:szCs w:val="20"/>
              </w:rPr>
              <w:t xml:space="preserve">Un double versement est physiquement impossible, quoi que fasse le programme.</w:t>
            </w:r>
          </w:p>
        </w:tc>
      </w:tr>
    </w:tbl>
    <w:p>
      <w:pPr>
        <w:spacing w:after="200" w:line="276"/>
      </w:pPr>
      <w:r>
        <w:rPr>
          <w:rFonts w:ascii="Calibri" w:cs="Calibri" w:eastAsia="Calibri" w:hAnsi="Calibri"/>
          <w:color w:val="20344A"/>
          <w:sz w:val="20"/>
          <w:szCs w:val="20"/>
        </w:rPr>
        <w:t xml:space="preserve"/>
      </w:r>
    </w:p>
    <w:p>
      <w:pPr>
        <w:pageBreakBefore/>
        <w:spacing w:after="0"/>
      </w:pPr>
      <w:r>
        <w:rPr>
          <w:sz w:val="2"/>
          <w:szCs w:val="2"/>
        </w:rPr>
        <w:t xml:space="preserve"/>
      </w:r>
    </w:p>
    <w:p>
      <w:pPr>
        <w:spacing w:after="130" w:before="260"/>
      </w:pPr>
      <w:r>
        <w:rPr>
          <w:rFonts w:ascii="Calibri" w:cs="Calibri" w:eastAsia="Calibri" w:hAnsi="Calibri"/>
          <w:b/>
          <w:bCs/>
          <w:color w:val="003A70"/>
          <w:sz w:val="24"/>
          <w:szCs w:val="24"/>
        </w:rPr>
        <w:t xml:space="preserve">5.  Où on en est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AF2FA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3A70"/>
                <w:sz w:val="17"/>
                <w:szCs w:val="17"/>
              </w:rPr>
              <w:t xml:space="preserve">Fait</w:t>
            </w:r>
          </w:p>
        </w:tc>
        <w:tc>
          <w:tcPr>
            <w:tcW w:type="dxa" w:w="4680"/>
            <w:shd w:fill="EAF2FA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3A70"/>
                <w:sz w:val="17"/>
                <w:szCs w:val="17"/>
              </w:rPr>
              <w:t xml:space="preserve">Pas encore fait</w:t>
            </w:r>
          </w:p>
        </w:tc>
      </w:tr>
      <w:tr>
        <w:tc>
          <w:tcPr>
            <w:tcW w:type="dxa" w:w="468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50"/>
            </w:pPr>
            <w:r>
              <w:rPr>
                <w:rFonts w:ascii="Calibri" w:cs="Calibri" w:eastAsia="Calibri" w:hAnsi="Calibri"/>
                <w:color w:val="1B7A38"/>
                <w:sz w:val="18"/>
                <w:szCs w:val="18"/>
              </w:rPr>
              <w:t xml:space="preserve">Application mobile — 16 écrans</w:t>
            </w:r>
          </w:p>
        </w:tc>
        <w:tc>
          <w:tcPr>
            <w:tcW w:type="dxa" w:w="468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50"/>
            </w:pPr>
            <w:r>
              <w:rPr>
                <w:rFonts w:ascii="Calibri" w:cs="Calibri" w:eastAsia="Calibri" w:hAnsi="Calibri"/>
                <w:color w:val="B3241F"/>
                <w:sz w:val="18"/>
                <w:szCs w:val="18"/>
              </w:rPr>
              <w:t xml:space="preserve">Essai sur un vrai téléphone</w:t>
            </w:r>
          </w:p>
        </w:tc>
      </w:tr>
      <w:tr>
        <w:tc>
          <w:tcPr>
            <w:tcW w:type="dxa" w:w="468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50"/>
            </w:pPr>
            <w:r>
              <w:rPr>
                <w:rFonts w:ascii="Calibri" w:cs="Calibri" w:eastAsia="Calibri" w:hAnsi="Calibri"/>
                <w:color w:val="1B7A38"/>
                <w:sz w:val="18"/>
                <w:szCs w:val="18"/>
              </w:rPr>
              <w:t xml:space="preserve">Backend + espace admin + espace partenaire</w:t>
            </w:r>
          </w:p>
        </w:tc>
        <w:tc>
          <w:tcPr>
            <w:tcW w:type="dxa" w:w="468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50"/>
            </w:pPr>
            <w:r>
              <w:rPr>
                <w:rFonts w:ascii="Calibri" w:cs="Calibri" w:eastAsia="Calibri" w:hAnsi="Calibri"/>
                <w:color w:val="B3241F"/>
                <w:sz w:val="18"/>
                <w:szCs w:val="18"/>
              </w:rPr>
              <w:t xml:space="preserve">Photos des produits</w:t>
            </w:r>
          </w:p>
        </w:tc>
      </w:tr>
      <w:tr>
        <w:tc>
          <w:tcPr>
            <w:tcW w:type="dxa" w:w="468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50"/>
            </w:pPr>
            <w:r>
              <w:rPr>
                <w:rFonts w:ascii="Calibri" w:cs="Calibri" w:eastAsia="Calibri" w:hAnsi="Calibri"/>
                <w:color w:val="1B7A38"/>
                <w:sz w:val="18"/>
                <w:szCs w:val="18"/>
              </w:rPr>
              <w:t xml:space="preserve">25 tests automatiques, tous verts</w:t>
            </w:r>
          </w:p>
        </w:tc>
        <w:tc>
          <w:tcPr>
            <w:tcW w:type="dxa" w:w="468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50"/>
            </w:pPr>
            <w:r>
              <w:rPr>
                <w:rFonts w:ascii="Calibri" w:cs="Calibri" w:eastAsia="Calibri" w:hAnsi="Calibri"/>
                <w:color w:val="B3241F"/>
                <w:sz w:val="18"/>
                <w:szCs w:val="18"/>
              </w:rPr>
              <w:t xml:space="preserve">Vrais SMS (passerelle à contractualiser)</w:t>
            </w:r>
          </w:p>
        </w:tc>
      </w:tr>
      <w:tr>
        <w:tc>
          <w:tcPr>
            <w:tcW w:type="dxa" w:w="468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50"/>
            </w:pPr>
            <w:r>
              <w:rPr>
                <w:rFonts w:ascii="Calibri" w:cs="Calibri" w:eastAsia="Calibri" w:hAnsi="Calibri"/>
                <w:color w:val="1B7A38"/>
                <w:sz w:val="18"/>
                <w:szCs w:val="18"/>
              </w:rPr>
              <w:t xml:space="preserve">Logo, charte graphique, pitch deck</w:t>
            </w:r>
          </w:p>
        </w:tc>
        <w:tc>
          <w:tcPr>
            <w:tcW w:type="dxa" w:w="468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50"/>
            </w:pPr>
            <w:r>
              <w:rPr>
                <w:rFonts w:ascii="Calibri" w:cs="Calibri" w:eastAsia="Calibri" w:hAnsi="Calibri"/>
                <w:color w:val="B3241F"/>
                <w:sz w:val="18"/>
                <w:szCs w:val="18"/>
              </w:rPr>
              <w:t xml:space="preserve">CGU validées par un juriste</w:t>
            </w:r>
          </w:p>
        </w:tc>
      </w:tr>
      <w:tr>
        <w:tc>
          <w:tcPr>
            <w:tcW w:type="dxa" w:w="468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50"/>
            </w:pPr>
            <w:r>
              <w:rPr>
                <w:rFonts w:ascii="Calibri" w:cs="Calibri" w:eastAsia="Calibri" w:hAnsi="Calibri"/>
                <w:color w:val="1B7A38"/>
                <w:sz w:val="18"/>
                <w:szCs w:val="18"/>
              </w:rPr>
              <w:t xml:space="preserve">Sécurité : double authentification admin</w:t>
            </w:r>
          </w:p>
        </w:tc>
        <w:tc>
          <w:tcPr>
            <w:tcW w:type="dxa" w:w="468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50"/>
            </w:pPr>
            <w:r>
              <w:rPr>
                <w:rFonts w:ascii="Calibri" w:cs="Calibri" w:eastAsia="Calibri" w:hAnsi="Calibri"/>
                <w:color w:val="B3241F"/>
                <w:sz w:val="18"/>
                <w:szCs w:val="18"/>
              </w:rPr>
              <w:t xml:space="preserve">Consultation BCEAO/UEMOA</w:t>
            </w:r>
          </w:p>
        </w:tc>
      </w:tr>
    </w:tbl>
    <w:p>
      <w:pPr>
        <w:spacing w:after="200" w:line="276"/>
      </w:pPr>
      <w:r>
        <w:rPr>
          <w:rFonts w:ascii="Calibri" w:cs="Calibri" w:eastAsia="Calibri" w:hAnsi="Calibri"/>
          <w:color w:val="20344A"/>
          <w:sz w:val="20"/>
          <w:szCs w:val="20"/>
        </w:rPr>
        <w:t xml:space="preserve"/>
      </w:r>
    </w:p>
    <w:p>
      <w:pPr>
        <w:spacing w:after="130" w:before="260"/>
      </w:pPr>
      <w:r>
        <w:rPr>
          <w:rFonts w:ascii="Calibri" w:cs="Calibri" w:eastAsia="Calibri" w:hAnsi="Calibri"/>
          <w:b/>
          <w:bCs/>
          <w:color w:val="003A70"/>
          <w:sz w:val="24"/>
          <w:szCs w:val="24"/>
        </w:rPr>
        <w:t xml:space="preserve">6.  Les quatre prochaines étapes</w:t>
      </w:r>
    </w:p>
    <w:p>
      <w:pPr>
        <w:pStyle w:val="ListParagraph"/>
        <w:numPr>
          <w:ilvl w:val="0"/>
          <w:numId w:val="1"/>
        </w:numPr>
        <w:spacing w:after="70" w:line="276"/>
      </w:pPr>
      <w:r>
        <w:rPr>
          <w:rFonts w:ascii="Calibri" w:cs="Calibri" w:eastAsia="Calibri" w:hAnsi="Calibri"/>
          <w:b/>
          <w:bCs/>
          <w:color w:val="20344A"/>
          <w:sz w:val="20"/>
          <w:szCs w:val="20"/>
        </w:rPr>
        <w:t xml:space="preserve">Essayer l'application sur un vrai téléphone</w:t>
      </w:r>
      <w:r>
        <w:rPr>
          <w:rFonts w:ascii="Calibri" w:cs="Calibri" w:eastAsia="Calibri" w:hAnsi="Calibri"/>
          <w:color w:val="20344A"/>
          <w:sz w:val="20"/>
          <w:szCs w:val="20"/>
        </w:rPr>
        <w:t xml:space="preserve"> — jamais fait, et tout le reste en dépend.</w:t>
      </w:r>
    </w:p>
    <w:p>
      <w:pPr>
        <w:pStyle w:val="ListParagraph"/>
        <w:numPr>
          <w:ilvl w:val="0"/>
          <w:numId w:val="1"/>
        </w:numPr>
        <w:spacing w:after="70" w:line="276"/>
      </w:pPr>
      <w:r>
        <w:rPr>
          <w:rFonts w:ascii="Calibri" w:cs="Calibri" w:eastAsia="Calibri" w:hAnsi="Calibri"/>
          <w:b/>
          <w:bCs/>
          <w:color w:val="20344A"/>
          <w:sz w:val="20"/>
          <w:szCs w:val="20"/>
        </w:rPr>
        <w:t xml:space="preserve">Arbitrer les règles « à définir »</w:t>
      </w:r>
      <w:r>
        <w:rPr>
          <w:rFonts w:ascii="Calibri" w:cs="Calibri" w:eastAsia="Calibri" w:hAnsi="Calibri"/>
          <w:color w:val="20344A"/>
          <w:sz w:val="20"/>
          <w:szCs w:val="20"/>
        </w:rPr>
        <w:t xml:space="preserve"> : frais d'annulation, délai d'inactivité, arrondi. Elles sont la substance des CGU.</w:t>
      </w:r>
    </w:p>
    <w:p>
      <w:pPr>
        <w:pStyle w:val="ListParagraph"/>
        <w:numPr>
          <w:ilvl w:val="0"/>
          <w:numId w:val="1"/>
        </w:numPr>
        <w:spacing w:after="70" w:line="276"/>
      </w:pPr>
      <w:r>
        <w:rPr>
          <w:rFonts w:ascii="Calibri" w:cs="Calibri" w:eastAsia="Calibri" w:hAnsi="Calibri"/>
          <w:b/>
          <w:bCs/>
          <w:color w:val="20344A"/>
          <w:sz w:val="20"/>
          <w:szCs w:val="20"/>
        </w:rPr>
        <w:t xml:space="preserve">Consultation juridique BCEAO/UEMOA</w:t>
      </w:r>
      <w:r>
        <w:rPr>
          <w:rFonts w:ascii="Calibri" w:cs="Calibri" w:eastAsia="Calibri" w:hAnsi="Calibri"/>
          <w:color w:val="20344A"/>
          <w:sz w:val="20"/>
          <w:szCs w:val="20"/>
        </w:rPr>
        <w:t xml:space="preserve"> avant toute ouverture au public.</w:t>
      </w:r>
    </w:p>
    <w:p>
      <w:pPr>
        <w:pStyle w:val="ListParagraph"/>
        <w:numPr>
          <w:ilvl w:val="0"/>
          <w:numId w:val="1"/>
        </w:numPr>
        <w:spacing w:after="70" w:line="276"/>
      </w:pPr>
      <w:r>
        <w:rPr>
          <w:rFonts w:ascii="Calibri" w:cs="Calibri" w:eastAsia="Calibri" w:hAnsi="Calibri"/>
          <w:b/>
          <w:bCs/>
          <w:color w:val="20344A"/>
          <w:sz w:val="20"/>
          <w:szCs w:val="20"/>
        </w:rPr>
        <w:t xml:space="preserve">Contractualiser une passerelle SMS</w:t>
      </w:r>
      <w:r>
        <w:rPr>
          <w:rFonts w:ascii="Calibri" w:cs="Calibri" w:eastAsia="Calibri" w:hAnsi="Calibri"/>
          <w:color w:val="20344A"/>
          <w:sz w:val="20"/>
          <w:szCs w:val="20"/>
        </w:rPr>
        <w:t xml:space="preserve"> — sans elle, aucune inscription ni connexion admin n'est possible.</w:t>
      </w:r>
    </w:p>
    <w:p>
      <w:pPr>
        <w:spacing w:after="120" w:line="276"/>
      </w:pPr>
      <w:r>
        <w:rPr>
          <w:rFonts w:ascii="Calibri" w:cs="Calibri" w:eastAsia="Calibri" w:hAnsi="Calibri"/>
          <w:color w:val="20344A"/>
          <w:sz w:val="20"/>
          <w:szCs w:val="20"/>
        </w:rPr>
        <w:t xml:space="preserve"/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FF6E2" w:val="clear"/>
            <w:tcMar>
              <w:top w:type="dxa" w:w="130"/>
              <w:left w:type="dxa" w:w="180"/>
              <w:bottom w:type="dxa" w:w="130"/>
              <w:right w:type="dxa" w:w="180"/>
            </w:tcMar>
          </w:tcPr>
          <w:p>
            <w:pPr>
              <w:spacing w:after="70"/>
            </w:pPr>
            <w:r>
              <w:rPr>
                <w:rFonts w:ascii="Calibri" w:cs="Calibri" w:eastAsia="Calibri" w:hAnsi="Calibri"/>
                <w:b/>
                <w:bCs/>
                <w:color w:val="9A6C00"/>
                <w:spacing w:val="20"/>
                <w:sz w:val="17"/>
                <w:szCs w:val="17"/>
              </w:rPr>
              <w:t xml:space="preserve">À RETENIR</w:t>
            </w:r>
          </w:p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9A6C00"/>
                <w:sz w:val="20"/>
                <w:szCs w:val="20"/>
              </w:rPr>
              <w:t xml:space="preserve">Le logiciel n'est plus ce qui bloque. </w:t>
            </w:r>
            <w:r>
              <w:rPr>
                <w:rFonts w:ascii="Calibri" w:cs="Calibri" w:eastAsia="Calibri" w:hAnsi="Calibri"/>
                <w:color w:val="20344A"/>
                <w:sz w:val="20"/>
                <w:szCs w:val="20"/>
              </w:rPr>
              <w:t xml:space="preserve">Sur les prochaines étapes, une seule relève du développement. Ce sont vos démarches, contrats et décisions de gestion qui commandent désormais le calendrier.</w:t>
            </w:r>
          </w:p>
        </w:tc>
      </w:tr>
    </w:tbl>
    <w:p>
      <w:pPr>
        <w:spacing w:after="200" w:line="276"/>
      </w:pPr>
      <w:r>
        <w:rPr>
          <w:rFonts w:ascii="Calibri" w:cs="Calibri" w:eastAsia="Calibri" w:hAnsi="Calibri"/>
          <w:color w:val="20344A"/>
          <w:sz w:val="20"/>
          <w:szCs w:val="20"/>
        </w:rPr>
        <w:t xml:space="preserve"/>
      </w:r>
    </w:p>
    <w:p>
      <w:pPr>
        <w:spacing w:after="130" w:before="260"/>
      </w:pPr>
      <w:r>
        <w:rPr>
          <w:rFonts w:ascii="Calibri" w:cs="Calibri" w:eastAsia="Calibri" w:hAnsi="Calibri"/>
          <w:b/>
          <w:bCs/>
          <w:color w:val="003A70"/>
          <w:sz w:val="24"/>
          <w:szCs w:val="24"/>
        </w:rPr>
        <w:t xml:space="preserve">7.  Tester l'application (5 commandes)</w:t>
      </w:r>
    </w:p>
    <w:p>
      <w:pPr>
        <w:spacing w:after="100" w:line="276"/>
      </w:pPr>
      <w:r>
        <w:rPr>
          <w:rFonts w:ascii="Calibri" w:cs="Calibri" w:eastAsia="Calibri" w:hAnsi="Calibri"/>
          <w:color w:val="20344A"/>
          <w:sz w:val="20"/>
          <w:szCs w:val="20"/>
        </w:rPr>
        <w:t xml:space="preserve">Sur un ordinateur, téléphone et PC sur le même Wi-Fi :</w:t>
      </w:r>
    </w:p>
    <w:p>
      <w:pPr>
        <w:shd w:fill="F2F6FA" w:val="clear"/>
        <w:spacing w:after="60" w:line="260"/>
      </w:pPr>
      <w:r>
        <w:rPr>
          <w:rFonts w:ascii="Consolas" w:cs="Consolas" w:eastAsia="Consolas" w:hAnsi="Consolas"/>
          <w:sz w:val="15"/>
          <w:szCs w:val="15"/>
        </w:rPr>
        <w:t xml:space="preserve">git clone -b claude/kayna-kayna-pay-presentation-gp4lgf https://github.com/mly-dev/projet.git</w:t>
      </w:r>
    </w:p>
    <w:p>
      <w:pPr>
        <w:shd w:fill="F2F6FA" w:val="clear"/>
        <w:spacing w:after="60" w:line="260"/>
      </w:pPr>
      <w:r>
        <w:rPr>
          <w:rFonts w:ascii="Consolas" w:cs="Consolas" w:eastAsia="Consolas" w:hAnsi="Consolas"/>
          <w:sz w:val="15"/>
          <w:szCs w:val="15"/>
        </w:rPr>
        <w:t xml:space="preserve">cd projet/kayna-kayna-pay/plateforme</w:t>
      </w:r>
    </w:p>
    <w:p>
      <w:pPr>
        <w:shd w:fill="F2F6FA" w:val="clear"/>
        <w:spacing w:after="60" w:line="260"/>
      </w:pPr>
      <w:r>
        <w:rPr>
          <w:rFonts w:ascii="Consolas" w:cs="Consolas" w:eastAsia="Consolas" w:hAnsi="Consolas"/>
          <w:sz w:val="15"/>
          <w:szCs w:val="15"/>
        </w:rPr>
        <w:t xml:space="preserve">npm install &amp;&amp; npm run db:migrer &amp;&amp; npm run db:seed &amp;&amp; npm run dev</w:t>
      </w:r>
    </w:p>
    <w:p>
      <w:pPr>
        <w:shd w:fill="F2F6FA" w:val="clear"/>
        <w:spacing w:after="60" w:line="260"/>
      </w:pPr>
      <w:r>
        <w:rPr>
          <w:rFonts w:ascii="Consolas" w:cs="Consolas" w:eastAsia="Consolas" w:hAnsi="Consolas"/>
          <w:sz w:val="15"/>
          <w:szCs w:val="15"/>
        </w:rPr>
        <w:t xml:space="preserve">cd ../mobile &amp;&amp; npm install &amp;&amp; cp .env.example .env</w:t>
      </w:r>
    </w:p>
    <w:p>
      <w:pPr>
        <w:shd w:fill="F2F6FA" w:val="clear"/>
        <w:spacing w:after="130" w:line="260"/>
      </w:pPr>
      <w:r>
        <w:rPr>
          <w:rFonts w:ascii="Consolas" w:cs="Consolas" w:eastAsia="Consolas" w:hAnsi="Consolas"/>
          <w:sz w:val="15"/>
          <w:szCs w:val="15"/>
        </w:rPr>
        <w:t xml:space="preserve">npx expo start          (puis scanner le QR code avec Expo Go)</w:t>
      </w:r>
    </w:p>
    <w:p>
      <w:pPr>
        <w:spacing w:after="200" w:line="276"/>
      </w:pPr>
      <w:r>
        <w:rPr>
          <w:rFonts w:ascii="Calibri" w:cs="Calibri" w:eastAsia="Calibri" w:hAnsi="Calibri"/>
          <w:b/>
          <w:bCs/>
          <w:color w:val="20344A"/>
          <w:sz w:val="20"/>
          <w:szCs w:val="20"/>
        </w:rPr>
        <w:t xml:space="preserve">Important : </w:t>
      </w:r>
      <w:r>
        <w:rPr>
          <w:rFonts w:ascii="Calibri" w:cs="Calibri" w:eastAsia="Calibri" w:hAnsi="Calibri"/>
          <w:color w:val="20344A"/>
          <w:sz w:val="20"/>
          <w:szCs w:val="20"/>
        </w:rPr>
        <w:t xml:space="preserve">dans </w:t>
      </w:r>
      <w:r>
        <w:rPr>
          <w:rFonts w:ascii="Calibri" w:cs="Calibri" w:eastAsia="Calibri" w:hAnsi="Calibri"/>
          <w:b/>
          <w:bCs/>
          <w:color w:val="20344A"/>
          <w:sz w:val="20"/>
          <w:szCs w:val="20"/>
        </w:rPr>
        <w:t xml:space="preserve">mobile/.env</w:t>
      </w:r>
      <w:r>
        <w:rPr>
          <w:rFonts w:ascii="Calibri" w:cs="Calibri" w:eastAsia="Calibri" w:hAnsi="Calibri"/>
          <w:color w:val="20344A"/>
          <w:sz w:val="20"/>
          <w:szCs w:val="20"/>
        </w:rPr>
        <w:t xml:space="preserve">, mettez l'adresse IP de votre PC (</w:t>
      </w:r>
      <w:r>
        <w:rPr>
          <w:rFonts w:ascii="Calibri" w:cs="Calibri" w:eastAsia="Calibri" w:hAnsi="Calibri"/>
          <w:b/>
          <w:bCs/>
          <w:color w:val="20344A"/>
          <w:sz w:val="20"/>
          <w:szCs w:val="20"/>
        </w:rPr>
        <w:t xml:space="preserve">ipconfig</w:t>
      </w:r>
      <w:r>
        <w:rPr>
          <w:rFonts w:ascii="Calibri" w:cs="Calibri" w:eastAsia="Calibri" w:hAnsi="Calibri"/>
          <w:color w:val="20344A"/>
          <w:sz w:val="20"/>
          <w:szCs w:val="20"/>
        </w:rPr>
        <w:t xml:space="preserve"> sous Windows), pas « localhost ». Les codes SMS s'affichent dans le terminal de la plateforme.</w:t>
      </w:r>
    </w:p>
    <w:p>
      <w:pPr>
        <w:pBdr>
          <w:top w:val="single" w:color="D7E3EE" w:sz="6"/>
        </w:pBdr>
        <w:spacing w:after="60" w:before="200"/>
      </w:pPr>
      <w:r>
        <w:rPr>
          <w:sz w:val="4"/>
          <w:szCs w:val="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color w:val="5D7285"/>
          <w:sz w:val="16"/>
          <w:szCs w:val="16"/>
        </w:rPr>
        <w:t xml:space="preserve">Guide détaillé, documentation technique et procédure d'exploitation : dossier </w:t>
      </w:r>
      <w:r>
        <w:rPr>
          <w:rFonts w:ascii="Calibri" w:cs="Calibri" w:eastAsia="Calibri" w:hAnsi="Calibri"/>
          <w:b/>
          <w:bCs/>
          <w:color w:val="5D7285"/>
          <w:sz w:val="16"/>
          <w:szCs w:val="16"/>
        </w:rPr>
        <w:t xml:space="preserve">docs/</w:t>
      </w:r>
      <w:r>
        <w:rPr>
          <w:rFonts w:ascii="Calibri" w:cs="Calibri" w:eastAsia="Calibri" w:hAnsi="Calibri"/>
          <w:color w:val="5D7285"/>
          <w:sz w:val="16"/>
          <w:szCs w:val="16"/>
        </w:rPr>
        <w:t xml:space="preserve"> du projet. Chiffres relevés dans le code, pas estimés.</w:t>
      </w:r>
    </w:p>
    <w:sectPr>
      <w:pgSz w:w="11906" w:h="16838" w:orient="portrait"/>
      <w:pgMar w:top="9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Kayna Kayna Pay — l'essentiel</dc:title>
  <dc:creator>Kayna Kayna Pay</dc:creator>
  <cp:lastModifiedBy>Un-named</cp:lastModifiedBy>
  <cp:revision>1</cp:revision>
  <dcterms:created xsi:type="dcterms:W3CDTF">2026-08-19T12:35:36.884Z</dcterms:created>
  <dcterms:modified xsi:type="dcterms:W3CDTF">2026-08-19T12:35:36.885Z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