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03A70"/>
          <w:spacing w:val="30"/>
          <w:sz w:val="34"/>
          <w:szCs w:val="34"/>
        </w:rPr>
        <w:t xml:space="preserve">KAYNA KAYNA PAY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D7285"/>
          <w:sz w:val="20"/>
          <w:szCs w:val="20"/>
        </w:rPr>
        <w:t xml:space="preserve">« Petit à petit, paye »  —  l'essentiel en 2 pages</w:t>
      </w:r>
    </w:p>
    <w:p>
      <w:pPr>
        <w:pBdr>
          <w:bottom w:val="single" w:color="005CA9" w:sz="12"/>
        </w:pBdr>
        <w:spacing w:after="240"/>
      </w:pPr>
      <w:r>
        <w:rPr>
          <w:sz w:val="4"/>
          <w:szCs w:val="4"/>
        </w:rPr>
        <w:t xml:space="preserve"/>
      </w:r>
    </w:p>
    <w:p>
      <w:pPr>
        <w:spacing w:after="110" w:before="210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1.  Le projet</w:t>
      </w:r>
    </w:p>
    <w:p>
      <w:pPr>
        <w:spacing w:after="12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>Une application qui permet d'acheter un produit en le payant petit à petit par mobile money, et de le recevoir une fois qu'il est entièrement payé. </w:t>
      </w: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L'argent reste chez Kayna Kayna Pay jusqu'à la livraison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 : le client est sûr de recevoir, le vendeur est sûr d'être payé.</w:t>
      </w:r>
    </w:p>
    <w:p>
      <w:pPr>
        <w:spacing w:after="20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>Revenu : une commission de 5 % incluse dans le prix affiché. Un produit à 100 000 F chez le vendeur est affiché 105 000 F.</w:t>
      </w:r>
    </w:p>
    <w:p>
      <w:pPr>
        <w:spacing w:after="110" w:before="210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2.  Comment ça marche (le parcours)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8740"/>
      </w:tblGrid>
      <w:tr>
        <w:trPr>
          <w:tblHeader/>
        </w:trPr>
        <w:tc>
          <w:tcPr>
            <w:tcW w:type="dxa" w:w="620"/>
            <w:shd w:fill="EAF2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/>
            </w:r>
          </w:p>
        </w:tc>
        <w:tc>
          <w:tcPr>
            <w:tcW w:type="dxa" w:w="8740"/>
            <w:shd w:fill="EAF2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>Ce qui se passe</w:t>
            </w:r>
          </w:p>
        </w:tc>
      </w:tr>
      <w:tr>
        <w:tc>
          <w:tcPr>
            <w:tcW w:type="dxa" w:w="6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18"/>
                <w:szCs w:val="18"/>
              </w:rPr>
              <w:t xml:space="preserve">1</w:t>
            </w:r>
          </w:p>
        </w:tc>
        <w:tc>
          <w:tcPr>
            <w:tcW w:type="dxa" w:w="87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Le client choisit un produit et ouvre un « portefeuille » à 0 F.</w:t>
            </w:r>
          </w:p>
        </w:tc>
      </w:tr>
      <w:tr>
        <w:tc>
          <w:tcPr>
            <w:tcW w:type="dxa" w:w="6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18"/>
                <w:szCs w:val="18"/>
              </w:rPr>
              <w:t xml:space="preserve">2</w:t>
            </w:r>
          </w:p>
        </w:tc>
        <w:tc>
          <w:tcPr>
            <w:tcW w:type="dxa" w:w="87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Il déclare un versement (dès 100 F). L'app lui donne le numéro de dépôt et une référence unique.</w:t>
            </w:r>
          </w:p>
        </w:tc>
      </w:tr>
      <w:tr>
        <w:tc>
          <w:tcPr>
            <w:tcW w:type="dxa" w:w="6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18"/>
                <w:szCs w:val="18"/>
              </w:rPr>
              <w:t xml:space="preserve">3</w:t>
            </w:r>
          </w:p>
        </w:tc>
        <w:tc>
          <w:tcPr>
            <w:tcW w:type="dxa" w:w="87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Il dépose par NITA / Amana / Wave, puis appuie sur « j'ai effectué le dépôt ».</w:t>
            </w:r>
          </w:p>
        </w:tc>
      </w:tr>
      <w:tr>
        <w:tc>
          <w:tcPr>
            <w:tcW w:type="dxa" w:w="6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18"/>
                <w:szCs w:val="18"/>
              </w:rPr>
              <w:t xml:space="preserve">4</w:t>
            </w:r>
          </w:p>
        </w:tc>
        <w:tc>
          <w:tcPr>
            <w:tcW w:type="dxa" w:w="87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Le versement apparaît instantanément chez votre équipe, qui vérifie le dépôt réel et valide.</w:t>
            </w:r>
          </w:p>
        </w:tc>
      </w:tr>
      <w:tr>
        <w:tc>
          <w:tcPr>
            <w:tcW w:type="dxa" w:w="6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18"/>
                <w:szCs w:val="18"/>
              </w:rPr>
              <w:t xml:space="preserve">5</w:t>
            </w:r>
          </w:p>
        </w:tc>
        <w:tc>
          <w:tcPr>
            <w:tcW w:type="dxa" w:w="87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Le portefeuille du client est crédité en temps réel. Au montant total : achat complété, produit remis.</w:t>
            </w:r>
          </w:p>
        </w:tc>
      </w:tr>
    </w:tbl>
    <w:p>
      <w:pPr>
        <w:spacing w:after="20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/>
      </w:r>
    </w:p>
    <w:p>
      <w:pPr>
        <w:spacing w:after="110" w:before="210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3.  Les trois morceaux techniques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200"/>
        <w:gridCol w:w="2660"/>
      </w:tblGrid>
      <w:tr>
        <w:trPr>
          <w:tblHeader/>
        </w:trPr>
        <w:tc>
          <w:tcPr>
            <w:tcW w:type="dxa" w:w="2500"/>
            <w:shd w:fill="EAF2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>Morceau</w:t>
            </w:r>
          </w:p>
        </w:tc>
        <w:tc>
          <w:tcPr>
            <w:tcW w:type="dxa" w:w="4200"/>
            <w:shd w:fill="EAF2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>Rôle</w:t>
            </w:r>
          </w:p>
        </w:tc>
        <w:tc>
          <w:tcPr>
            <w:tcW w:type="dxa" w:w="2660"/>
            <w:shd w:fill="EAF2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>Analogie</w:t>
            </w:r>
          </w:p>
        </w:tc>
      </w:tr>
      <w:tr>
        <w:tc>
          <w:tcPr>
            <w:tcW w:type="dxa" w:w="25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Application mobile</w:t>
            </w:r>
          </w:p>
        </w:tc>
        <w:tc>
          <w:tcPr>
            <w:tcW w:type="dxa" w:w="4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Ce que voit le client</w:t>
            </w:r>
          </w:p>
        </w:tc>
        <w:tc>
          <w:tcPr>
            <w:tcW w:type="dxa" w:w="26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La salle du restaurant</w:t>
            </w:r>
          </w:p>
        </w:tc>
      </w:tr>
      <w:tr>
        <w:tc>
          <w:tcPr>
            <w:tcW w:type="dxa" w:w="25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Backend (le serveur)</w:t>
            </w:r>
          </w:p>
        </w:tc>
        <w:tc>
          <w:tcPr>
            <w:tcW w:type="dxa" w:w="4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Toutes les règles, 36 entrées d'API</w:t>
            </w:r>
          </w:p>
        </w:tc>
        <w:tc>
          <w:tcPr>
            <w:tcW w:type="dxa" w:w="26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La cuisine</w:t>
            </w:r>
          </w:p>
        </w:tc>
      </w:tr>
      <w:tr>
        <w:tc>
          <w:tcPr>
            <w:tcW w:type="dxa" w:w="25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Base de données</w:t>
            </w:r>
          </w:p>
        </w:tc>
        <w:tc>
          <w:tcPr>
            <w:tcW w:type="dxa" w:w="4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La mémoire, 13 tables</w:t>
            </w:r>
          </w:p>
        </w:tc>
        <w:tc>
          <w:tcPr>
            <w:tcW w:type="dxa" w:w="26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Le garde-manger</w:t>
            </w:r>
          </w:p>
        </w:tc>
      </w:tr>
    </w:tbl>
    <w:p>
      <w:pPr>
        <w:spacing w:after="10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/>
      </w:r>
    </w:p>
    <w:p>
      <w:pPr>
        <w:spacing w:after="200" w:line="276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Règle absolue : 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rien ne parle jamais directement à la base. Tout passe par le backend, qui vérifie tout — parce qu'un téléphone peut être trafiqué, un serveur non.</w:t>
      </w:r>
    </w:p>
    <w:p>
      <w:pPr>
        <w:spacing w:after="110" w:before="210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4.  Les trois règles qui protègent l'argent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8FD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005CA9"/>
                <w:spacing w:val="20"/>
                <w:sz w:val="17"/>
                <w:szCs w:val="17"/>
              </w:rPr>
              <w:t xml:space="preserve">CE QUI REND LE SYSTÈME FIABLE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70" w:line="276"/>
            </w:pPr>
            <w:r>
              <w:rPr>
                <w:rFonts w:ascii="Calibri" w:cs="Calibri" w:eastAsia="Calibri" w:hAnsi="Calibri"/>
                <w:b/>
                <w:bCs/>
                <w:color w:val="20344A"/>
                <w:sz w:val="20"/>
                <w:szCs w:val="20"/>
              </w:rPr>
              <w:t xml:space="preserve">Une écriture validée ne change plus jamais. </w:t>
            </w:r>
            <w:r>
              <w:rPr>
                <w:rFonts w:ascii="Calibri" w:cs="Calibri" w:eastAsia="Calibri" w:hAnsi="Calibri"/>
                <w:color w:val="20344A"/>
                <w:sz w:val="20"/>
                <w:szCs w:val="20"/>
              </w:rPr>
              <w:t xml:space="preserve">Une erreur se corrige par une nouvelle ligne signée, jamais par une gomme.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70" w:line="276"/>
            </w:pPr>
            <w:r>
              <w:rPr>
                <w:rFonts w:ascii="Calibri" w:cs="Calibri" w:eastAsia="Calibri" w:hAnsi="Calibri"/>
                <w:b/>
                <w:bCs/>
                <w:color w:val="20344A"/>
                <w:sz w:val="20"/>
                <w:szCs w:val="20"/>
              </w:rPr>
              <w:t xml:space="preserve">Le solde n'est jamais saisi, il est recalculé </w:t>
            </w:r>
            <w:r>
              <w:rPr>
                <w:rFonts w:ascii="Calibri" w:cs="Calibri" w:eastAsia="Calibri" w:hAnsi="Calibri"/>
                <w:color w:val="20344A"/>
                <w:sz w:val="20"/>
                <w:szCs w:val="20"/>
              </w:rPr>
              <w:t xml:space="preserve">depuis toutes les écritures. Un solde faux est donc réparable.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70" w:line="276"/>
            </w:pPr>
            <w:r>
              <w:rPr>
                <w:rFonts w:ascii="Calibri" w:cs="Calibri" w:eastAsia="Calibri" w:hAnsi="Calibri"/>
                <w:b/>
                <w:bCs/>
                <w:color w:val="20344A"/>
                <w:sz w:val="20"/>
                <w:szCs w:val="20"/>
              </w:rPr>
              <w:t xml:space="preserve">Les interdits sont posés dans la base, pas seulement dans le code. </w:t>
            </w:r>
            <w:r>
              <w:rPr>
                <w:rFonts w:ascii="Calibri" w:cs="Calibri" w:eastAsia="Calibri" w:hAnsi="Calibri"/>
                <w:color w:val="20344A"/>
                <w:sz w:val="20"/>
                <w:szCs w:val="20"/>
              </w:rPr>
              <w:t xml:space="preserve">Un double versement est physiquement impossible, quoi que fasse le programme.</w:t>
            </w:r>
          </w:p>
        </w:tc>
      </w:tr>
    </w:tbl>
    <w:p>
      <w:pPr>
        <w:spacing w:after="20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/>
      </w:r>
    </w:p>
    <w:p>
      <w:pPr>
        <w:pageBreakBefore/>
        <w:spacing w:after="0"/>
      </w:pPr>
      <w:r>
        <w:rPr>
          <w:sz w:val="2"/>
          <w:szCs w:val="2"/>
        </w:rPr>
        <w:t xml:space="preserve"/>
      </w:r>
    </w:p>
    <w:p>
      <w:pPr>
        <w:spacing w:after="110" w:before="210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5.  Où on en 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AF2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>Fait</w:t>
            </w:r>
          </w:p>
        </w:tc>
        <w:tc>
          <w:tcPr>
            <w:tcW w:type="dxa" w:w="4680"/>
            <w:shd w:fill="EAF2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>Pas encore fait</w:t>
            </w:r>
          </w:p>
        </w:tc>
      </w:tr>
      <w:tr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1B7A38"/>
                <w:sz w:val="18"/>
                <w:szCs w:val="18"/>
              </w:rPr>
              <w:t xml:space="preserve">Application mobile — 16 écrans</w:t>
            </w:r>
          </w:p>
        </w:tc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B3241F"/>
                <w:sz w:val="18"/>
                <w:szCs w:val="18"/>
              </w:rPr>
              <w:t xml:space="preserve">Essai sur un vrai téléphone</w:t>
            </w:r>
          </w:p>
        </w:tc>
      </w:tr>
      <w:tr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1B7A38"/>
                <w:sz w:val="18"/>
                <w:szCs w:val="18"/>
              </w:rPr>
              <w:t xml:space="preserve">Backend + espace admin + espace partenaire</w:t>
            </w:r>
          </w:p>
        </w:tc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B3241F"/>
                <w:sz w:val="18"/>
                <w:szCs w:val="18"/>
              </w:rPr>
              <w:t xml:space="preserve">Photos des produits</w:t>
            </w:r>
          </w:p>
        </w:tc>
      </w:tr>
      <w:tr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1B7A38"/>
                <w:sz w:val="18"/>
                <w:szCs w:val="18"/>
              </w:rPr>
              <w:t xml:space="preserve">25 tests automatiques, tous verts</w:t>
            </w:r>
          </w:p>
        </w:tc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B3241F"/>
                <w:sz w:val="18"/>
                <w:szCs w:val="18"/>
              </w:rPr>
              <w:t xml:space="preserve">Vrais SMS (passerelle à contractualiser)</w:t>
            </w:r>
          </w:p>
        </w:tc>
      </w:tr>
      <w:tr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1B7A38"/>
                <w:sz w:val="18"/>
                <w:szCs w:val="18"/>
              </w:rPr>
              <w:t xml:space="preserve">Logo, charte graphique, pitch deck</w:t>
            </w:r>
          </w:p>
        </w:tc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B3241F"/>
                <w:sz w:val="18"/>
                <w:szCs w:val="18"/>
              </w:rPr>
              <w:t xml:space="preserve">CGU validées par un juriste</w:t>
            </w:r>
          </w:p>
        </w:tc>
      </w:tr>
      <w:tr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1B7A38"/>
                <w:sz w:val="18"/>
                <w:szCs w:val="18"/>
              </w:rPr>
              <w:t xml:space="preserve">Sécurité : double authentification admin</w:t>
            </w:r>
          </w:p>
        </w:tc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B3241F"/>
                <w:sz w:val="18"/>
                <w:szCs w:val="18"/>
              </w:rPr>
              <w:t xml:space="preserve">Consultation BCEAO/UEMOA</w:t>
            </w:r>
          </w:p>
        </w:tc>
      </w:tr>
    </w:tbl>
    <w:p>
      <w:pPr>
        <w:spacing w:after="20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/>
      </w:r>
    </w:p>
    <w:p>
      <w:pPr>
        <w:spacing w:after="110" w:before="210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6.  Les quatre prochaines étapes</w:t>
      </w:r>
    </w:p>
    <w:p>
      <w:pPr>
        <w:pStyle w:val="ListParagraph"/>
        <w:numPr>
          <w:ilvl w:val="0"/>
          <w:numId w:val="1"/>
        </w:numPr>
        <w:spacing w:after="70" w:line="276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Essayer l'application sur un vrai téléphone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 — jamais fait, et tout le reste en dépend.</w:t>
      </w:r>
    </w:p>
    <w:p>
      <w:pPr>
        <w:pStyle w:val="ListParagraph"/>
        <w:numPr>
          <w:ilvl w:val="0"/>
          <w:numId w:val="1"/>
        </w:numPr>
        <w:spacing w:after="70" w:line="276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Arbitrer les règles « à définir »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 : frais d'annulation, délai d'inactivité, arrondi. Elles sont la substance des CGU.</w:t>
      </w:r>
    </w:p>
    <w:p>
      <w:pPr>
        <w:pStyle w:val="ListParagraph"/>
        <w:numPr>
          <w:ilvl w:val="0"/>
          <w:numId w:val="1"/>
        </w:numPr>
        <w:spacing w:after="70" w:line="276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Consultation juridique BCEAO/UEMOA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 avant toute ouverture au public.</w:t>
      </w:r>
    </w:p>
    <w:p>
      <w:pPr>
        <w:pStyle w:val="ListParagraph"/>
        <w:numPr>
          <w:ilvl w:val="0"/>
          <w:numId w:val="1"/>
        </w:numPr>
        <w:spacing w:after="70" w:line="276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Contractualiser une passerelle SMS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 — sans elle, aucune inscription ni connexion admin n'est possible.</w:t>
      </w:r>
    </w:p>
    <w:p>
      <w:pPr>
        <w:spacing w:after="12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FF6E2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9A6C00"/>
                <w:spacing w:val="20"/>
                <w:sz w:val="17"/>
                <w:szCs w:val="17"/>
              </w:rPr>
              <w:t xml:space="preserve">À RETENIR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9A6C00"/>
                <w:sz w:val="20"/>
                <w:szCs w:val="20"/>
              </w:rPr>
              <w:t xml:space="preserve">Le logiciel n'est plus ce qui bloque. </w:t>
            </w:r>
            <w:r>
              <w:rPr>
                <w:rFonts w:ascii="Calibri" w:cs="Calibri" w:eastAsia="Calibri" w:hAnsi="Calibri"/>
                <w:color w:val="20344A"/>
                <w:sz w:val="20"/>
                <w:szCs w:val="20"/>
              </w:rPr>
              <w:t xml:space="preserve">Sur les prochaines étapes, une seule relève du développement. Ce sont vos démarches, contrats et décisions de gestion qui commandent désormais le calendrier.</w:t>
            </w:r>
          </w:p>
        </w:tc>
      </w:tr>
    </w:tbl>
    <w:p>
      <w:pPr>
        <w:spacing w:after="11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/>
      </w:r>
    </w:p>
    <w:p>
      <w:pPr>
        <w:spacing w:after="110" w:before="210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7.  Tester l'application</w:t>
      </w:r>
    </w:p>
    <w:p>
      <w:pPr>
        <w:spacing w:after="110" w:line="276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Prérequis : 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Node 18+, PostgreSQL installé </w:t>
      </w: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et démarré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, Expo Go sur le téléphone, PC et téléphone sur le même Wi-Fi. Commandes pour Windows (cmd).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003A70"/>
          <w:sz w:val="20"/>
          <w:szCs w:val="20"/>
        </w:rPr>
        <w:t xml:space="preserve">① La base de données — une seule fois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psql -U postgres -c "CREATE USER kkp WITH PASSWORD 'kkp' CREATEDB;"</w:t>
      </w:r>
    </w:p>
    <w:p>
      <w:pPr>
        <w:shd w:fill="F2F6FA" w:val="clear"/>
        <w:spacing w:after="110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psql -U postgres -c "CREATE DATABASE kaynakaynapay OWNER kkp;"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003A70"/>
          <w:sz w:val="20"/>
          <w:szCs w:val="20"/>
        </w:rPr>
        <w:t xml:space="preserve">② La plateforme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git clone -b claude/kayna-kayna-pay-presentation-gp4lgf https://github.com/mly-dev/projet.git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cd projet\kayna-kayna-pay\plateforme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copy .env.example .env</w:t>
      </w:r>
    </w:p>
    <w:p>
      <w:pPr>
        <w:shd w:fill="F2F6FA" w:val="clear"/>
        <w:spacing w:after="110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npm install &amp;&amp; npm run db:migrer &amp;&amp; npm run db:seed &amp;&amp; npm run dev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003A70"/>
          <w:sz w:val="20"/>
          <w:szCs w:val="20"/>
        </w:rPr>
        <w:t xml:space="preserve">③ L'application mobile — dans une 2ᵉ fenêtre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cd projet\kayna-kayna-pay\mobile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copy .env.example .env</w:t>
      </w:r>
    </w:p>
    <w:p>
      <w:pPr>
        <w:shd w:fill="F2F6FA" w:val="clear"/>
        <w:spacing w:after="110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npm install &amp;&amp; npx expo start</w:t>
      </w:r>
    </w:p>
    <w:p>
      <w:pPr>
        <w:spacing w:after="70" w:line="276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Avant de lancer Expo : 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ouvrez </w:t>
      </w: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mobile\.env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 et remplacez l'adresse par l'IP de votre PC (commande </w:t>
      </w: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ipconfig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, ligne « Adresse IPv4 » du Wi-Fi). « localhost » ne marche pas depuis un téléphone.</w:t>
      </w:r>
    </w:p>
    <w:p>
      <w:pPr>
        <w:spacing w:after="30" w:line="276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Les codes SMS 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s'affichent dans la fenêtre de la plateforme (lignes « [SMS → +227… ] »), pas sur un vrai téléphone.</w:t>
      </w:r>
    </w:p>
    <w:p>
      <w:pPr>
        <w:pBdr>
          <w:top w:val="single" w:color="D7E3EE" w:sz="6"/>
        </w:pBdr>
        <w:spacing w:after="0" w:before="130" w:line="240"/>
      </w:pPr>
      <w:r>
        <w:rPr>
          <w:rFonts w:ascii="Calibri" w:cs="Calibri" w:eastAsia="Calibri" w:hAnsi="Calibri"/>
          <w:color w:val="5D7285"/>
          <w:sz w:val="16"/>
          <w:szCs w:val="16"/>
        </w:rPr>
        <w:t xml:space="preserve">Guide détaillé et documentation technique : dossier </w:t>
      </w:r>
      <w:r>
        <w:rPr>
          <w:rFonts w:ascii="Calibri" w:cs="Calibri" w:eastAsia="Calibri" w:hAnsi="Calibri"/>
          <w:b/>
          <w:bCs/>
          <w:color w:val="5D7285"/>
          <w:sz w:val="16"/>
          <w:szCs w:val="16"/>
        </w:rPr>
        <w:t xml:space="preserve">docs/</w:t>
      </w:r>
      <w:r>
        <w:rPr>
          <w:rFonts w:ascii="Calibri" w:cs="Calibri" w:eastAsia="Calibri" w:hAnsi="Calibri"/>
          <w:color w:val="5D7285"/>
          <w:sz w:val="16"/>
          <w:szCs w:val="16"/>
        </w:rPr>
        <w:t xml:space="preserve"> du projet.</w:t>
      </w:r>
    </w:p>
    <w:sectPr>
      <w:pgSz w:w="11906" w:h="16838" w:orient="portrait"/>
      <w:pgMar w:top="850" w:right="1000" w:bottom="56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Kayna Kayna Pay — l'essentiel</dc:title>
  <dc:creator>Kayna Kayna Pay</dc:creator>
  <cp:lastModifiedBy>Un-named</cp:lastModifiedBy>
  <cp:revision>1</cp:revision>
  <dcterms:created xsi:type="dcterms:W3CDTF">2026-08-19T13:00:45.117Z</dcterms:created>
  <dcterms:modified xsi:type="dcterms:W3CDTF">2026-08-19T13:00:45.118Z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