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sz w:val="2"/>
          <w:szCs w:val="2"/>
        </w:rPr>
        <w:t xml:space="preserve"/>
      </w:r>
    </w:p>
    <w:p>
      <w:pPr>
        <w:spacing w:after="340"/>
      </w:pPr>
      <w:r>
        <w:drawing>
          <wp:inline distT="0" distB="0" distL="0" distR="0">
            <wp:extent cx="8001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5CA9"/>
          <w:spacing w:val="60"/>
          <w:sz w:val="22"/>
          <w:szCs w:val="22"/>
        </w:rPr>
        <w:t xml:space="preserve">KAYNA KAYNA PAY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03A70"/>
          <w:sz w:val="56"/>
          <w:szCs w:val="56"/>
        </w:rPr>
        <w:t xml:space="preserve">Comprendre Kayna Kayna Pay</w:t>
      </w:r>
    </w:p>
    <w:p>
      <w:pPr>
        <w:spacing w:after="260"/>
      </w:pPr>
      <w:r>
        <w:rPr>
          <w:rFonts w:ascii="Cambria" w:cs="Cambria" w:eastAsia="Cambria" w:hAnsi="Cambria"/>
          <w:i/>
          <w:iCs/>
          <w:color w:val="5D7285"/>
          <w:sz w:val="26"/>
          <w:szCs w:val="26"/>
        </w:rPr>
        <w:t xml:space="preserve">Le produit, son fonctionnement et ses garde-fous</w:t>
      </w:r>
    </w:p>
    <w:p>
      <w:pPr>
        <w:pBdr>
          <w:bottom w:val="single" w:color="F2A900" w:sz="14" w:space="2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after="500" w:line="300"/>
      </w:pPr>
      <w:r>
        <w:rPr>
          <w:rFonts w:ascii="Calibri" w:cs="Calibri" w:eastAsia="Calibri" w:hAnsi="Calibri"/>
          <w:color w:val="1B2E42"/>
          <w:sz w:val="22"/>
          <w:szCs w:val="22"/>
        </w:rPr>
        <w:t xml:space="preserve">Ce document explique ce que fait Kayna Kayna Pay, comment la plateforme est construite et pourquoi elle est construite ainsi. Il s'adresse à qui doit reprendre le projet, l'expliquer, ou décider de son avenir.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Public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Équipe technique, direction, partenaires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1.0 — août 2026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Complément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Guide d'utilisation · L'essentiel</w:t>
            </w:r>
          </w:p>
        </w:tc>
      </w:tr>
    </w:tbl>
    <w:p>
      <w:pPr>
        <w:spacing w:after="0" w:before="700"/>
      </w:pPr>
      <w:r>
        <w:rPr>
          <w:rFonts w:ascii="Calibri" w:cs="Calibri" w:eastAsia="Calibri" w:hAnsi="Calibri"/>
          <w:i/>
          <w:iCs/>
          <w:color w:val="5D7285"/>
          <w:sz w:val="15"/>
          <w:szCs w:val="15"/>
        </w:rPr>
        <w:t xml:space="preserve">« Kayan si djineh koy yan gandji »  —  faire petit n'empêche pas d'avancer</w:t>
      </w:r>
    </w:p>
    <w:p>
      <w:pPr>
        <w:sectPr>
          <w:pgSz w:w="11906" w:h="16838" w:orient="portrait"/>
          <w:pgMar w:top="1150" w:right="1000" w:bottom="1000" w:left="1000" w:header="708" w:footer="708" w:gutter="0"/>
          <w:pgNumType/>
          <w:docGrid w:linePitch="360"/>
        </w:sectPr>
      </w:pPr>
    </w:p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Sommaire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 projet en une phrase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Ce que Kayna Kayna Pay fait, et pour qui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 vocabulaire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Les six mots qui reviennent partout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L'architecture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Trois morceaux, une seule base de données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 parcours du client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De l'inscription à la remise du produit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5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 versement, pièce par pièce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La machine à états qui protège l'argent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6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Les trois règles d'or de l'argent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Ce qui ne se négocie jamais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7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La base de données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Les tables et ce qu'elles garantissent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8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La sécurité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Mots de passe, jetons, double facteur, rôles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9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Comment on sait que ça marche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Le test de bout en bout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10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Les pièges à connaître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Les erreurs déjà commises, et leur correctif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11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Ce qui reste à faire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La feuille de route après le MVP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"/>
        <w:gridCol w:w="8720"/>
      </w:tblGrid>
      <w:tr>
        <w:tc>
          <w:tcPr>
            <w:tcW w:type="dxa" w:w="64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005CA9"/>
                <w:sz w:val="20"/>
                <w:szCs w:val="20"/>
              </w:rPr>
              <w:t xml:space="preserve">12</w:t>
            </w:r>
          </w:p>
        </w:tc>
        <w:tc>
          <w:tcPr>
            <w:tcW w:type="dxa" w:w="872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Résumé en une page</w:t>
            </w:r>
            <w:r>
              <w:rPr>
                <w:rFonts w:ascii="Calibri" w:cs="Calibri" w:eastAsia="Calibri" w:hAnsi="Calibri"/>
                <w:color w:val="5D7285"/>
                <w:sz w:val="17"/>
                <w:szCs w:val="17"/>
              </w:rPr>
              <w:t xml:space="preserve">
À relire avant une démonstration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1.  Le projet en une phrase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Kayna Kayna Pay permet à quelqu'un d'</w:t>
      </w: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acheter un bien en le payant petit à petit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, par mobile money, et de le recevoir une fois le montant complété.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Ce n'est pas du crédit : personne n'avance d'argent, personne ne s'endette. C'est l'inverse — on épargne d'abord, on reçoit ensuite. Le nom vient du zarma : « kayna kayna », petit à petit.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que ce n'est pas</w:t>
            </w:r>
          </w:p>
        </w:tc>
        <w:tc>
          <w:tcPr>
            <w:tcW w:type="dxa" w:w="468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que c'est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Du crédit à la consommation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épargne affectée à un achat précis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paiement en plusieurs fois après livraison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paiement en plusieurs fois avant livraison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portefeuille électronique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compteur par achat, qui ne sert qu'à cet achat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opérateur mobile money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service qui s'appuie sur NITA, Amana et Wave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LE MODÈLE ÉCONOMIQUE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partenaire fixe son prix. La plateforme ajoute 5 % de commission et affiche le total au client. Le client ne voit qu'un prix, celui qu'il paiera — rien ne s'ajoute à la fin.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Exemple : une moto à 640 000 F chez le vendeur est affichée </w:t>
            </w: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672 000 F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. À la livraison, le vendeur touche ses 640 000 F, la plateforme garde 32 000 F.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2.  Le vocabulaire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Six mots reviennent dans le code, dans les écrans et dans les conversations. Les confondre est la première source de malentendu ; ils sont donc employés partout avec le même sens.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Mot</w:t>
            </w:r>
          </w:p>
        </w:tc>
        <w:tc>
          <w:tcPr>
            <w:tcW w:type="dxa" w:w="42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que ça désigne</w:t>
            </w:r>
          </w:p>
        </w:tc>
        <w:tc>
          <w:tcPr>
            <w:tcW w:type="dxa" w:w="36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que ça ne désigne pas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Achat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L'engagement d'un client sur un produit : le prix est figé à son ouverture.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commande déjà payée.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Portefeuille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compteur d'un achat : la somme des versements validés pour cet achat.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porte-monnaie électronique réutilisable.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Versement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tentative de dépôt : un montant, un opérateur, une référence unique.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De l'argent reçu — tant qu'il n'est pas validé, rien n'est acquis.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Écriture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ligne comptable créée quand un versement est validé.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enregistrement modifiable.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code court que le client recopie dans le motif du transfert.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numéro de compte.</w:t>
            </w:r>
          </w:p>
        </w:tc>
      </w:tr>
      <w:t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Partenaire</w:t>
            </w:r>
          </w:p>
        </w:tc>
        <w:tc>
          <w:tcPr>
            <w:tcW w:type="dxa" w:w="4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vendeur dont les produits figurent au catalogue.</w:t>
            </w:r>
          </w:p>
        </w:tc>
        <w:tc>
          <w:tcPr>
            <w:tcW w:type="dxa" w:w="36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actionnaire ou un apporteur d'argent.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F2A9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FF6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6100"/>
                <w:spacing w:val="20"/>
                <w:sz w:val="15"/>
                <w:szCs w:val="15"/>
              </w:rPr>
              <w:t xml:space="preserve">POURQUOI LA DISTINCTION VERSEMENT / ÉCRITURE COMPTE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Un versement peut être rejeté ; une écriture, jamais. Le solde d'un portefeuille se recalcule toujours à partir des écritures, jamais à partir des versements. C'est cette séparation qui empêche un dépôt douteux de gonfler un compteur.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3.  L'architecture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projet tient en trois morceaux, et un seul détient la vérité.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Morceau</w:t>
            </w:r>
          </w:p>
        </w:tc>
        <w:tc>
          <w:tcPr>
            <w:tcW w:type="dxa" w:w="29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Technologie</w:t>
            </w:r>
          </w:p>
        </w:tc>
        <w:tc>
          <w:tcPr>
            <w:tcW w:type="dxa" w:w="42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L'application mobile</w:t>
            </w:r>
          </w:p>
        </w:tc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Expo / React Native (JavaScript)</w:t>
            </w:r>
          </w:p>
        </w:tc>
        <w:tc>
          <w:tcPr>
            <w:tcW w:type="dxa" w:w="42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Ce que le client a dans la main. Elle n'a aucune règle métier : elle affiche ce que le serveur lui dit.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Les espaces web</w:t>
            </w:r>
          </w:p>
        </w:tc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Next.js (pages)</w:t>
            </w:r>
          </w:p>
        </w:tc>
        <w:tc>
          <w:tcPr>
            <w:tcW w:type="dxa" w:w="42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L'espace d'administration et l'espace partenaire, dans un navigateur.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Le serveur</w:t>
            </w:r>
          </w:p>
        </w:tc>
        <w:tc>
          <w:tcPr>
            <w:tcW w:type="dxa" w:w="2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Next.js (routes API) + Socket.io + PostgreSQL</w:t>
            </w:r>
          </w:p>
        </w:tc>
        <w:tc>
          <w:tcPr>
            <w:tcW w:type="dxa" w:w="42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seule autorité. Toutes les règles d'argent y sont, et nulle part ailleurs.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LA RÈGLE QUI STRUCTURE TOUT LE RESTE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Aucune règle métier ne vit dans l'application mobile.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Si demain quelqu'un modifie l'application pour s'attribuer 100 000 F, le serveur refusera : c'est lui qui calcule, valide et journalise. L'application n'est qu'une fenêtre.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3.1  Le dossier, fichier par fichier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Les emplacements à connaître avant de toucher quoi que ce soit :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Chemin</w:t>
            </w:r>
          </w:p>
        </w:tc>
        <w:tc>
          <w:tcPr>
            <w:tcW w:type="dxa" w:w="59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qu'on y trouve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plateforme/lib/versements.js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Le cœur. Machine à états, validation, recalcul du portefeuille. À lire en premier.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plateforme/lib/auth.js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Jetons, mots de passe, cookies de session, double facteur.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plateforme/lib/db.js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Connexion PostgreSQL, transactions, paramètres de la plateforme.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plateforme/pages/api/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route = un fichier. Le nom du fichier est l'adresse.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plateforme/db/migrations/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schéma, en migrations numérotées et empreintées.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plateforme/lib/medias.js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Photos de produits : réduction, écriture, service.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plateforme/scripts/smoke.js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test de bout en bout : 26 critères d'acceptation.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mobile/src/ecrans/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écran = un fichier.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mobile/src/composants/Base.js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bibliothèque de composants de l'application.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mobile/src/theme.js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Couleurs, tailles, espacements : la source unique du design.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4.  Le parcours du client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Sept étapes, de l'inscription à la remise. Chacune correspond à un écran de l'application et à une route du serveur.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Inscription.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Numéro de téléphone, nom, mot de passe, acceptation des conditions. Un code à six chiffres arrive par SMS et vérifie le numéro. Sans cette vérification, aucun compte n'est actif.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Choix d'un produit.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Le catalogue affiche des prix commission comprise. La fiche produit propose un simulateur : « à tant par jour, vous terminez dans tant de temps ».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Ouverture de l'achat.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Le prix est figé à cet instant. Si la commission change ensuite, cet achat n'est pas touché.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Versement.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Le client choisit un montant (dès 100 F) et un opérateur. Le serveur lui renvoie un numéro de dépôt et une référence unique.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Dépôt réel.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Le client envoie l'argent par mobile money en indiquant la référence dans le motif, puis déclare le dépôt dans l'application.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Validation.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Un administrateur vérifie la réception sur le compte de la plateforme et valide au montant réellement reçu. Le portefeuille est crédité, le client est notifié en temps réel.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Remise.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Quand le portefeuille atteint le prix total, l'achat passe « complété ». La remise s'organise avec le partenaire, qui est réglé à la livraison confirmée.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A81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C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1E1A"/>
                <w:spacing w:val="20"/>
                <w:sz w:val="15"/>
                <w:szCs w:val="15"/>
              </w:rPr>
              <w:t xml:space="preserve">LE POINT DE FRICTION PRINCIPAL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Entre l'étape 5 et l'étape 6, l'argent est parti du téléphone du client mais n'est pas encore inscrit à son portefeuille. C'est la minute où il doute. Tout est fait pour réduire cette angoisse : référence bien visible, minuteur de dix minutes, notification instantanée, et surtout la garantie qu'un dépôt réel n'est jamais perdu — au pire il passe « en vérification ».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5.  Le versement, pièce par pièce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versement est la seule chose qui crée de l'argent dans le système. Il est donc traité comme une machine à états : cinq états, des transitions autorisées explicitement, et rien d'autre.</w:t>
      </w:r>
    </w:p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État</w:t>
            </w:r>
          </w:p>
        </w:tc>
        <w:tc>
          <w:tcPr>
            <w:tcW w:type="dxa" w:w="44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qu'il signifie</w:t>
            </w:r>
          </w:p>
        </w:tc>
        <w:tc>
          <w:tcPr>
            <w:tcW w:type="dxa" w:w="30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Peut aller vers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initie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client a demandé un versement. Aucune somme n'a bougé.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en_attente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en_attente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client déclare avoir déposé. L'équipe doit vérifier.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valide · rejete · en_verification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en_verification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minuteur de dix minutes a expiré sans décision.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valide · rejete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valide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dépôt est confirmé. Une écriture est créée.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B2E42"/>
                <w:sz w:val="17"/>
                <w:szCs w:val="17"/>
              </w:rPr>
              <w:t xml:space="preserve">— (définitif)</w:t>
            </w:r>
          </w:p>
        </w:tc>
      </w:tr>
      <w:t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rejete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dépôt n'a pas été retrouvé. Un motif est obligatoire.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B2E42"/>
                <w:sz w:val="17"/>
                <w:szCs w:val="17"/>
              </w:rPr>
              <w:t xml:space="preserve">— (définitif)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5.1  Ce qui se passe à la validation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La validation est une seule transaction de base de données. Soit tout réussit, soit rien ne change — il n'existe aucun état intermédiaire où l'argent serait à moitié inscrit 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versement passe à « validé », avec le montant réellement reçu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une écriture est ajoutée au portefeuille de l'achat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solde est recalculé à partir de toutes les écritures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si le solde atteint le prix total, l'achat passe « complété »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client et, le cas échéant, le partenaire sont notifiés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la transition est journalisée avec son auteur et l'heure.</w:t>
      </w:r>
    </w:p>
    <w:p>
      <w:pPr>
        <w:spacing w:after="1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F2A9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FF6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6100"/>
                <w:spacing w:val="20"/>
                <w:sz w:val="15"/>
                <w:szCs w:val="15"/>
              </w:rPr>
              <w:t xml:space="preserve">POURQUOI LE MONTANT VALIDÉ PEUT DIFFÉRER DU MONTANT DÉCLARÉ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client déclare 1 000 F mais dépose 950 F : l'administrateur valide 950 F. Le portefeuille reflète l'argent réellement reçu, pas l'intention. C'est le seul écart toléré, et il est visible dans l'historique du client.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5.2  Un seul versement ouvert à la fois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Un achat ne peut pas avoir deux versements en cours. La règle n'est pas écrite dans le code applicatif mais </w:t>
      </w: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dans la base de données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, sous forme d'index unique partiel :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CREATE UNIQUE INDEX versement_actif_unique</w:t>
      </w:r>
      <w:r>
        <w:rPr>
          <w:rFonts w:ascii="Consolas" w:cs="Consolas" w:eastAsia="Consolas" w:hAnsi="Consolas"/>
          <w:color w:val="1B2E42"/>
          <w:sz w:val="15"/>
          <w:szCs w:val="15"/>
        </w:rPr>
        <w:br/>
        <w:t xml:space="preserve">    ON versements (achat_id)</w:t>
      </w:r>
      <w:r>
        <w:rPr>
          <w:rFonts w:ascii="Consolas" w:cs="Consolas" w:eastAsia="Consolas" w:hAnsi="Consolas"/>
          <w:color w:val="1B2E42"/>
          <w:sz w:val="15"/>
          <w:szCs w:val="15"/>
        </w:rPr>
        <w:br/>
        <w:t xml:space="preserve">    WHERE statut IN ('initie', 'en_attente');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Deux requêtes simultanées ne peuvent donc pas créer deux versements : la seconde est refusée par PostgreSQL lui-même. Une règle écrite seulement dans le code se contourne ; une contrainte de base, non.</w:t>
      </w:r>
    </w:p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6.  Les trois règles d'or de l'argent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Trois principes gouvernent tout le code qui touche à l'argent. Ils ne se discutent pas et se vérifient à chaque relecture.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RÈGLE 1 — CE QUI EST VALIDÉ EST DÉFINITIF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Un versement validé ne peut être ni modifié, ni supprimé, par personne — pas même par le super-administrateur. Une erreur se corrige par une écriture de correction, jamais par une réécriture. L'historique reste vrai.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RÈGLE 2 — LE SOLDE SE RECALCULE, IL NE S'INCRÉMENTE PAS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portefeuille n'est jamais mis à jour par addition. Il est recalculé à partir de la somme des écritures validées. Un incrément raté laisserait un solde faux pour toujours ; un recalcul, non.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RÈGLE 3 — LES INTERDITS VIVENT DANS LA BASE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Unicité du versement actif, unicité des références, cohérence des montants : ce sont des contraintes PostgreSQL. Le code applicatif les rappelle pour donner un message clair, mais c'est la base qui refuse.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A81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C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1E1A"/>
                <w:spacing w:val="20"/>
                <w:sz w:val="15"/>
                <w:szCs w:val="15"/>
              </w:rPr>
              <w:t xml:space="preserve">LE TEST QUI VÉRIFIE LES TROIS RÈGLES À LA FOIS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test de bout en bout compare, en fin de parcours, le solde du portefeuille à la somme des écritures validées. S'ils diffèrent d'un seul franc, le test échoue. C'est le filet de sécurité le plus important du projet.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7.  La base de données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PostgreSQL, une douzaine de tables. Voici celles qu'il faut connaître pour comprendre le reste.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Table</w:t>
            </w:r>
          </w:p>
        </w:tc>
        <w:tc>
          <w:tcPr>
            <w:tcW w:type="dxa" w:w="39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qu'elle contient</w:t>
            </w:r>
          </w:p>
        </w:tc>
        <w:tc>
          <w:tcPr>
            <w:tcW w:type="dxa" w:w="33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qu'elle garantit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users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Clients, administrateurs, partenaires — avec leur rôle.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numéro de téléphone = un compte.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produits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catalogue : prix partenaire et prix affiché.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prix affiché est figé à l'ouverture d'un achat.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achats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L'engagement d'un client sur un produit.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prix total ne bouge plus.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versements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tentatives de dépôt et leur état.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seul versement ouvert par achat ; référence unique.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ecritures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lignes comptables des versements validés.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Jamais modifiées, jamais supprimées.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journal_versements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Chaque transition d'état, avec auteur et horodatage.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On peut toujours reconstituer qui a fait quoi.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audit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actions sensibles hors versements.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Traçabilité des changements de paramètres.</w:t>
            </w:r>
          </w:p>
        </w:tc>
      </w:tr>
      <w:tr>
        <w:tc>
          <w:tcPr>
            <w:tcW w:type="dxa" w:w="21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17"/>
                <w:szCs w:val="17"/>
              </w:rPr>
              <w:t xml:space="preserve">parametres</w:t>
            </w:r>
          </w:p>
        </w:tc>
        <w:tc>
          <w:tcPr>
            <w:tcW w:type="dxa" w:w="39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Commission, versement minimum, numéros de dépôt.</w:t>
            </w:r>
          </w:p>
        </w:tc>
        <w:tc>
          <w:tcPr>
            <w:tcW w:type="dxa" w:w="33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Modifiable sans redéploiement.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7.1  Les migrations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schéma n'est jamais modifié à la main. Chaque changement est un fichier numéroté dans db/migrations/, appliqué par un script qui garde l'empreinte SHA-256 de chaque migration déjà passée. Modifier une migration déjà appliquée est donc détecté, pas silencieusement ignoré.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npm run db:migrer     # applique les migrations manquantes</w:t>
      </w:r>
      <w:r>
        <w:rPr>
          <w:rFonts w:ascii="Consolas" w:cs="Consolas" w:eastAsia="Consolas" w:hAnsi="Consolas"/>
          <w:color w:val="1B2E42"/>
          <w:sz w:val="15"/>
          <w:szCs w:val="15"/>
        </w:rPr>
        <w:br/>
        <w:t xml:space="preserve">  npm run verifier      # contrôle Node, dépendances, .env, base, schéma</w:t>
      </w:r>
    </w:p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8.  La sécurité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Cinq mécanismes, chacun répondant à une menace précise.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Mécanisme</w:t>
            </w:r>
          </w:p>
        </w:tc>
        <w:tc>
          <w:tcPr>
            <w:tcW w:type="dxa" w:w="59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Contre quoi il protège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Mots de passe hachés (bcrypt)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fuite de la base ne livre aucun mot de passe en clair.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Jetons signés (JWT)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jeton fabriqué ou modifié est rejeté : la signature ne correspond plus.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Double facteur des administrateurs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mot de passe d'administrateur volé ne suffit pas : un code SMS est exigé, et le jeton intermédiaire n'ouvre aucune session.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Cookie httpOnly + SameSite=Strict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jeton des espaces web n'est pas lisible en JavaScript et ne part pas sur un site tiers.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Contrôle de rôle sur chaque route</w:t>
            </w:r>
          </w:p>
        </w:tc>
        <w:tc>
          <w:tcPr>
            <w:tcW w:type="dxa" w:w="59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client ne peut pas appeler une route d'administration, même en connaissant son adresse.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A81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C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1E1A"/>
                <w:spacing w:val="20"/>
                <w:sz w:val="15"/>
                <w:szCs w:val="15"/>
              </w:rPr>
              <w:t xml:space="preserve">LE DÉTAIL QUI FAIT LA DIFFÉRENCE SUR LE DOUBLE FACTEUR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Après le mot de passe, le serveur renvoie un jeton portant la marque </w:t>
            </w:r>
            <w:r>
              <w:rPr>
                <w:rFonts w:ascii="Consolas" w:cs="Consolas" w:eastAsia="Consolas" w:hAnsi="Consolas"/>
                <w:color w:val="1B2E42"/>
                <w:sz w:val="20"/>
                <w:szCs w:val="20"/>
              </w:rPr>
              <w:t xml:space="preserve">etape: "2fa"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. La fonction qui autorise les routes refuse tout jeton portant cette marque. Deux preuves sont donc réellement nécessaires : sans cela, le premier jeton aurait suffi à tout ouvrir.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9.  Comment on sait que ça marche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Une seule commande, </w:t>
      </w:r>
      <w:r>
        <w:rPr>
          <w:rFonts w:ascii="Consolas" w:cs="Consolas" w:eastAsia="Consolas" w:hAnsi="Consolas"/>
          <w:b/>
          <w:bCs/>
          <w:color w:val="1B2E42"/>
          <w:sz w:val="20"/>
          <w:szCs w:val="20"/>
        </w:rPr>
        <w:t xml:space="preserve">npm run smoke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, rejoue le parcours complet contre un serveur réel et une base réelle, et vérifie 26 critères. Une seconde, npm run smoke:photos, en vérifie 18 sur les images.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Famille</w:t>
            </w:r>
          </w:p>
        </w:tc>
        <w:tc>
          <w:tcPr>
            <w:tcW w:type="dxa" w:w="67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Exemples de critères vérifiés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Inscription et connexion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conditions d'utilisation sont obligatoires ; le numéro est vérifié par SMS.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Double facteur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mot de passe seul n'ouvre aucune session ; le jeton intermédiaire non plus ; un mauvais code est refusé.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Versements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Instructions complètes ; un seul versement actif ; validation au montant réel ; rejet motivé obligatoire.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Temps réel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L'administrateur voit le versement arriver ; le client est notifié de la décision.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Minuteur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versement expiré passe « en vérification » et reste validable.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Comptabilité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solde égale exactement la somme des écritures validées.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Habilitations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Aucune route n'est accessible sans le rôle approprié.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Traçabilité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Chaque transition d'état est journalisée.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F2A9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FF6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6100"/>
                <w:spacing w:val="20"/>
                <w:sz w:val="15"/>
                <w:szCs w:val="15"/>
              </w:rPr>
              <w:t xml:space="preserve">CE QUE CE TEST NE REMPLACE PAS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Il vérifie les règles, pas l'expérience. Le rendu des écrans, la lisibilité d'un message d'erreur ou la clarté d'une référence de dépôt se contrôlent à l'œil, sur un vrai téléphone.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10.  Les pièges à connaître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Ces erreurs ont réellement été commises pendant la construction du projet. Elles sont listées ici pour ne pas être refaites.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Le piège</w:t>
            </w:r>
          </w:p>
        </w:tc>
        <w:tc>
          <w:tcPr>
            <w:tcW w:type="dxa" w:w="36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Ce qui se passe</w:t>
            </w:r>
          </w:p>
        </w:tc>
        <w:tc>
          <w:tcPr>
            <w:tcW w:type="dxa" w:w="30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Le correctif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Incrémenter le solde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incrément raté laisse un portefeuille faux pour toujours.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Recalculer depuis les écritures, à chaque fois.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Faire confiance au montant déclaré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client déclare 5 000 F et dépose 500 F.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L'administrateur valide au montant réellement reçu.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Écrire la commission en dur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catalogue et l'API finissent par afficher deux prix différents.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seule source : le paramètre en base.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Remplacer le thème de navigation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L'application plante au démarrage : la barre d'onglets perd sa table de polices.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Compléter le thème par défaut, ne jamais le remplacer.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Perdre le numéro de dépôt à la reprise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 client qui revient sur un versement initié ne sait plus où envoyer l'argent.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consultation d'un versement renvoie aussi ses instructions.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Un message d'erreur vide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« Migration interrompue — » ne dit rien de ce qui manque.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Diagnostiquer le code d'erreur et donner la commande de réparation.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Une règle .gitignore sans barre initiale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« medias/ » exclut tout dossier de ce nom, à toute profondeur — y compris la route qui sert les photos. Le code marche chez son auteur et manque partout ailleurs.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Ancrer la règle : « /medias/ ». npm run verifier signale désormais tout fichier de code exclu du dépôt.</w:t>
            </w:r>
          </w:p>
        </w:tc>
      </w:tr>
      <w:tr>
        <w:tc>
          <w:tcPr>
            <w:tcW w:type="dxa" w:w="27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Un git pull qui échoue en silence</w:t>
            </w:r>
          </w:p>
        </w:tc>
        <w:tc>
          <w:tcPr>
            <w:tcW w:type="dxa" w:w="3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Il s'arrête sur « Aborting », mais le serveur relancé ensuite démarre sur l'ancien code. On croit avoir mis à jour.</w:t>
            </w:r>
          </w:p>
        </w:tc>
        <w:tc>
          <w:tcPr>
            <w:tcW w:type="dxa" w:w="30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maj.cmd remet les fichiers de verrouillage npm en l'état avant de récupérer le code.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11.  Ce qui reste à faire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Le MVP couvre le parcours complet. Voici ce qui viendra ensuite, par ordre d'importance.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Chantier</w:t>
            </w:r>
          </w:p>
        </w:tc>
        <w:tc>
          <w:tcPr>
            <w:tcW w:type="dxa" w:w="45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Pourquoi</w:t>
            </w:r>
          </w:p>
        </w:tc>
        <w:tc>
          <w:tcPr>
            <w:tcW w:type="dxa" w:w="22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Ordre de grandeur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Passerelle SMS réelle</w:t>
            </w:r>
          </w:p>
        </w:tc>
        <w:tc>
          <w:tcPr>
            <w:tcW w:type="dxa" w:w="4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codes s'affichent aujourd'hui dans les journaux du serveur : suffisant en développement, impossible en production.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Quelques jours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Rapprochement automatique</w:t>
            </w:r>
          </w:p>
        </w:tc>
        <w:tc>
          <w:tcPr>
            <w:tcW w:type="dxa" w:w="4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validation est manuelle. Un relevé opérateur permettrait de pré-valider les dépôts qui correspondent.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Quelques semaines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Notifications hors application</w:t>
            </w:r>
          </w:p>
        </w:tc>
        <w:tc>
          <w:tcPr>
            <w:tcW w:type="dxa" w:w="4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temps réel ne fonctionne que si l'application est ouverte. Application fermée, le client n'apprend rien — lib/push.js n'est qu'un talon.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Quelques jours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Gestion autonome du catalogue</w:t>
            </w:r>
          </w:p>
        </w:tc>
        <w:tc>
          <w:tcPr>
            <w:tcW w:type="dxa" w:w="4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Les partenaires consultent leurs produits et leurs photos, mais ne les modifient pas encore.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Quelques semaines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Stockage partagé des limites</w:t>
            </w:r>
          </w:p>
        </w:tc>
        <w:tc>
          <w:tcPr>
            <w:tcW w:type="dxa" w:w="4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L'anti-abus est en mémoire : il ne tient pas sur plusieurs serveurs.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Une journée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12.  Résumé en une page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À relire avant une démonstration ou une reprise du projet.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005C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4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05CA9"/>
                <w:spacing w:val="20"/>
                <w:sz w:val="15"/>
                <w:szCs w:val="15"/>
              </w:rPr>
              <w:t xml:space="preserve">LE PRODUIT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Épargner petit à petit par mobile money pour recevoir un bien. Ni crédit, ni dette. Commission de 5 % déjà comprise dans le prix affiché.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005C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4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05CA9"/>
                <w:spacing w:val="20"/>
                <w:sz w:val="15"/>
                <w:szCs w:val="15"/>
              </w:rPr>
              <w:t xml:space="preserve">L'ARCHITECTURE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Une application mobile Expo, deux espaces web Next.js, un serveur Next.js + Socket.io, une base PostgreSQL. Toutes les règles d'argent sont sur le serveur.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005C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4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05CA9"/>
                <w:spacing w:val="20"/>
                <w:sz w:val="15"/>
                <w:szCs w:val="15"/>
              </w:rPr>
              <w:t xml:space="preserve">LE CŒUR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versement : cinq états, des transitions explicites, une validation en une seule transaction, un journal de chaque changement.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005C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4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05CA9"/>
                <w:spacing w:val="20"/>
                <w:sz w:val="15"/>
                <w:szCs w:val="15"/>
              </w:rPr>
              <w:t xml:space="preserve">LES GARDE-FOUS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Ce qui est validé est définitif. Le solde se recalcule depuis les écritures. Les interdits sont des contraintes de base de données.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005C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4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05CA9"/>
                <w:spacing w:val="20"/>
                <w:sz w:val="15"/>
                <w:szCs w:val="15"/>
              </w:rPr>
              <w:t xml:space="preserve">LA PREUVE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20"/>
                <w:szCs w:val="20"/>
              </w:rPr>
              <w:t xml:space="preserve">npm run smoke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: 26 critères d'acceptation rejoués contre un serveur et une base réels, plus 18 sur les photos.</w:t>
            </w:r>
          </w:p>
        </w:tc>
      </w:tr>
    </w:tbl>
    <w:p>
      <w:pPr>
        <w:spacing w:after="260"/>
      </w:pPr>
      <w:r>
        <w:rPr>
          <w:sz w:val="2"/>
          <w:szCs w:val="2"/>
        </w:rPr>
        <w:t xml:space="preserve"/>
      </w:r>
    </w:p>
    <w:p>
      <w:pPr>
        <w:spacing w:after="110" w:line="264"/>
        <w:jc w:val="center"/>
      </w:pPr>
      <w:r>
        <w:rPr>
          <w:rFonts w:ascii="Calibri" w:cs="Calibri" w:eastAsia="Calibri" w:hAnsi="Calibri"/>
          <w:i/>
          <w:iCs/>
          <w:color w:val="5D7285"/>
          <w:sz w:val="19"/>
          <w:szCs w:val="19"/>
        </w:rPr>
        <w:t xml:space="preserve">« Kayan si djineh koy yan gandji » — faire petit n'empêche pas d'avancer.</w:t>
      </w:r>
    </w:p>
    <w:sectPr>
      <w:headerReference w:type="default" r:id="rId7"/>
      <w:footerReference w:type="default" r:id="rId8"/>
      <w:pgSz w:w="11906" w:h="16838" w:orient="portrait"/>
      <w:pgMar w:top="115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60"/>
    </w:pPr>
    <w:r>
      <w:rPr>
        <w:rFonts w:ascii="Calibri" w:cs="Calibri" w:eastAsia="Calibri" w:hAnsi="Calibri"/>
        <w:color w:val="5D7285"/>
        <w:sz w:val="15"/>
        <w:szCs w:val="15"/>
      </w:rPr>
      <w:t xml:space="preserve">Août 2026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b/>
        <w:bCs/>
        <w:color w:val="005C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7285"/>
        <w:sz w:val="15"/>
        <w:szCs w:val="15"/>
      </w:rPr>
      <w:t xml:space="preserve"> / </w:t>
    </w:r>
    <w:r>
      <w:rPr>
        <w:rFonts w:ascii="Calibri" w:cs="Calibri" w:eastAsia="Calibri" w:hAnsi="Calibri"/>
        <w:color w:val="5D72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3EE" w:sz="4" w:space="6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005CA9"/>
        <w:sz w:val="15"/>
        <w:szCs w:val="15"/>
      </w:rPr>
      <w:t xml:space="preserve">Kayna Kayna Pay</w:t>
    </w:r>
    <w:r>
      <w:rPr>
        <w:rFonts w:ascii="Calibri" w:cs="Calibri" w:eastAsia="Calibri" w:hAnsi="Calibri"/>
        <w:color w:val="5D7285"/>
        <w:sz w:val="15"/>
        <w:szCs w:val="15"/>
      </w:rPr>
      <w:t xml:space="preserve">	Comprendre Kayna Kayna Pay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c0912e581c24f779d1c4840d549f1ba09ab6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Comprendre Kayna Kayna Pay</dc:title>
  <dc:creator>Kayna Kayna Pay</dc:creator>
  <dc:description>Ce que fait Kayna Kayna Pay, comment c'est construit et pourquoi.</dc:description>
  <cp:lastModifiedBy>Un-named</cp:lastModifiedBy>
  <cp:revision>1</cp:revision>
  <dcterms:created xsi:type="dcterms:W3CDTF">2026-08-20T12:11:17.965Z</dcterms:created>
  <dcterms:modified xsi:type="dcterms:W3CDTF">2026-08-20T12:11:17.965Z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