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sz w:val="2"/>
          <w:szCs w:val="2"/>
        </w:rPr>
        <w:t xml:space="preserve"/>
      </w:r>
    </w:p>
    <w:p>
      <w:pPr>
        <w:spacing w:after="340"/>
      </w:pPr>
      <w:r>
        <w:drawing>
          <wp:inline distT="0" distB="0" distL="0" distR="0">
            <wp:extent cx="8001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5CA9"/>
          <w:spacing w:val="60"/>
          <w:sz w:val="22"/>
          <w:szCs w:val="22"/>
        </w:rPr>
        <w:t xml:space="preserve">KAYNA KAYNA PAY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003A70"/>
          <w:sz w:val="56"/>
          <w:szCs w:val="56"/>
        </w:rPr>
        <w:t xml:space="preserve">L'essentiel</w:t>
      </w:r>
    </w:p>
    <w:p>
      <w:pPr>
        <w:spacing w:after="260"/>
      </w:pPr>
      <w:r>
        <w:rPr>
          <w:rFonts w:ascii="Cambria" w:cs="Cambria" w:eastAsia="Cambria" w:hAnsi="Cambria"/>
          <w:i/>
          <w:iCs/>
          <w:color w:val="5D7285"/>
          <w:sz w:val="26"/>
          <w:szCs w:val="26"/>
        </w:rPr>
        <w:t xml:space="preserve">« Petit à petit, paye »</w:t>
      </w:r>
    </w:p>
    <w:p>
      <w:pPr>
        <w:pBdr>
          <w:bottom w:val="single" w:color="F2A900" w:sz="14" w:space="2"/>
        </w:pBdr>
        <w:spacing w:after="400"/>
      </w:pPr>
      <w:r>
        <w:rPr>
          <w:sz w:val="2"/>
          <w:szCs w:val="2"/>
        </w:rPr>
        <w:t xml:space="preserve"/>
      </w:r>
    </w:p>
    <w:p>
      <w:pPr>
        <w:spacing w:after="500" w:line="300"/>
      </w:pPr>
      <w:r>
        <w:rPr>
          <w:rFonts w:ascii="Calibri" w:cs="Calibri" w:eastAsia="Calibri" w:hAnsi="Calibri"/>
          <w:color w:val="1B2E42"/>
          <w:sz w:val="22"/>
          <w:szCs w:val="22"/>
        </w:rPr>
        <w:t xml:space="preserve">La fiche courte : ce qu'est Kayna Kayna Pay, comment le projet est construit, où il en est, et comment l'installer pour l'essayer soi-même en une demi-heure.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D7285"/>
                <w:sz w:val="17"/>
                <w:szCs w:val="17"/>
              </w:rPr>
              <w:t xml:space="preserve">Public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Porteur du projet et proches collaborateurs</w:t>
            </w:r>
          </w:p>
        </w:tc>
      </w:tr>
      <w:tr>
        <w:tc>
          <w:tcPr>
            <w:tcW w:type="dxa" w:w="2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D7285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1.1 — août 2026</w:t>
            </w:r>
          </w:p>
        </w:tc>
      </w:tr>
      <w:tr>
        <w:tc>
          <w:tcPr>
            <w:tcW w:type="dxa" w:w="26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5D7285"/>
                <w:sz w:val="17"/>
                <w:szCs w:val="17"/>
              </w:rPr>
              <w:t xml:space="preserve">Complément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Comprendre Kayna Kayna Pay · Guide d'utilisation</w:t>
            </w:r>
          </w:p>
        </w:tc>
      </w:tr>
    </w:tbl>
    <w:p>
      <w:pPr>
        <w:spacing w:after="0" w:before="700"/>
      </w:pPr>
      <w:r>
        <w:rPr>
          <w:rFonts w:ascii="Calibri" w:cs="Calibri" w:eastAsia="Calibri" w:hAnsi="Calibri"/>
          <w:i/>
          <w:iCs/>
          <w:color w:val="5D7285"/>
          <w:sz w:val="15"/>
          <w:szCs w:val="15"/>
        </w:rPr>
        <w:t xml:space="preserve">« Kayan si djineh koy yan gandji »  —  faire petit n'empêche pas d'avancer</w:t>
      </w:r>
    </w:p>
    <w:p>
      <w:pPr>
        <w:sectPr>
          <w:pgSz w:w="11906" w:h="16838" w:orient="portrait"/>
          <w:pgMar w:top="1150" w:right="1000" w:bottom="1000" w:left="1000" w:header="708" w:footer="708" w:gutter="0"/>
          <w:pgNumType/>
          <w:docGrid w:linePitch="360"/>
        </w:sectPr>
      </w:pPr>
    </w:p>
    <w:p>
      <w:pPr>
        <w:pageBreakBefore/>
        <w:pBdr>
          <w:bottom w:val="single" w:color="005CA9" w:sz="10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003A70"/>
          <w:sz w:val="30"/>
          <w:szCs w:val="30"/>
        </w:rPr>
        <w:t xml:space="preserve">1.  Le projet</w:t>
      </w:r>
    </w:p>
    <w:p>
      <w:pPr>
        <w:spacing w:after="11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Une application qui permet d'</w:t>
      </w:r>
      <w:r>
        <w:rPr>
          <w:rFonts w:ascii="Calibri" w:cs="Calibri" w:eastAsia="Calibri" w:hAnsi="Calibri"/>
          <w:b/>
          <w:bCs/>
          <w:color w:val="1B2E42"/>
          <w:sz w:val="20"/>
          <w:szCs w:val="20"/>
        </w:rPr>
        <w:t xml:space="preserve">acheter un produit en le payant petit à petit</w:t>
      </w:r>
      <w:r>
        <w:rPr>
          <w:rFonts w:ascii="Calibri" w:cs="Calibri" w:eastAsia="Calibri" w:hAnsi="Calibri"/>
          <w:color w:val="1B2E42"/>
          <w:sz w:val="20"/>
          <w:szCs w:val="20"/>
        </w:rPr>
        <w:t xml:space="preserve"> par mobile money, et de le recevoir une fois qu'il est entièrement payé. L'argent reste chez Kayna Kayna Pay jusqu'à la remise : le client est sûr de recevoir, le vendeur est sûr d'être payé.</w:t>
      </w:r>
    </w:p>
    <w:p>
      <w:pPr>
        <w:spacing w:after="11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Revenu : une </w:t>
      </w:r>
      <w:r>
        <w:rPr>
          <w:rFonts w:ascii="Calibri" w:cs="Calibri" w:eastAsia="Calibri" w:hAnsi="Calibri"/>
          <w:b/>
          <w:bCs/>
          <w:color w:val="1B2E42"/>
          <w:sz w:val="20"/>
          <w:szCs w:val="20"/>
        </w:rPr>
        <w:t xml:space="preserve">commission de 5 %</w:t>
      </w:r>
      <w:r>
        <w:rPr>
          <w:rFonts w:ascii="Calibri" w:cs="Calibri" w:eastAsia="Calibri" w:hAnsi="Calibri"/>
          <w:color w:val="1B2E42"/>
          <w:sz w:val="20"/>
          <w:szCs w:val="20"/>
        </w:rPr>
        <w:t xml:space="preserve"> déjà comprise dans le prix affiché. Un produit à 100 000 F chez le vendeur est affiché 105 000 F — rien ne s'ajoute à la fin.</w:t>
      </w:r>
    </w:p>
    <w:p>
      <w:pPr>
        <w:pBdr>
          <w:bottom w:val="single" w:color="005CA9" w:sz="10" w:space="6"/>
        </w:pBdr>
        <w:spacing w:after="200" w:before="320"/>
      </w:pPr>
      <w:r>
        <w:rPr>
          <w:rFonts w:ascii="Cambria" w:cs="Cambria" w:eastAsia="Cambria" w:hAnsi="Cambria"/>
          <w:b/>
          <w:bCs/>
          <w:color w:val="003A70"/>
          <w:sz w:val="30"/>
          <w:szCs w:val="30"/>
        </w:rPr>
        <w:t xml:space="preserve">2.  Le parcours, en cinq temps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8840"/>
      </w:tblGrid>
      <w:tr>
        <w:tc>
          <w:tcPr>
            <w:tcW w:type="dxa" w:w="520"/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CA9"/>
                <w:sz w:val="20"/>
                <w:szCs w:val="20"/>
              </w:rPr>
              <w:t xml:space="preserve">1</w:t>
            </w:r>
          </w:p>
        </w:tc>
        <w:tc>
          <w:tcPr>
            <w:tcW w:type="dxa" w:w="8840"/>
            <w:tcMar>
              <w:top w:type="dxa" w:w="40"/>
              <w:left w:type="dxa" w:w="0"/>
              <w:bottom w:type="dxa" w:w="90"/>
              <w:right w:type="dxa" w:w="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Le client choisit un produit et ouvre un « portefeuille » à 0 F. Le prix est figé à cet instant.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8840"/>
      </w:tblGrid>
      <w:tr>
        <w:tc>
          <w:tcPr>
            <w:tcW w:type="dxa" w:w="520"/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CA9"/>
                <w:sz w:val="20"/>
                <w:szCs w:val="20"/>
              </w:rPr>
              <w:t xml:space="preserve">2</w:t>
            </w:r>
          </w:p>
        </w:tc>
        <w:tc>
          <w:tcPr>
            <w:tcW w:type="dxa" w:w="8840"/>
            <w:tcMar>
              <w:top w:type="dxa" w:w="40"/>
              <w:left w:type="dxa" w:w="0"/>
              <w:bottom w:type="dxa" w:w="90"/>
              <w:right w:type="dxa" w:w="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Il déclare un versement, dès 100 F. L'application lui donne le numéro de dépôt et une référence unique.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8840"/>
      </w:tblGrid>
      <w:tr>
        <w:tc>
          <w:tcPr>
            <w:tcW w:type="dxa" w:w="520"/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CA9"/>
                <w:sz w:val="20"/>
                <w:szCs w:val="20"/>
              </w:rPr>
              <w:t xml:space="preserve">3</w:t>
            </w:r>
          </w:p>
        </w:tc>
        <w:tc>
          <w:tcPr>
            <w:tcW w:type="dxa" w:w="8840"/>
            <w:tcMar>
              <w:top w:type="dxa" w:w="40"/>
              <w:left w:type="dxa" w:w="0"/>
              <w:bottom w:type="dxa" w:w="90"/>
              <w:right w:type="dxa" w:w="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Il dépose par NITA, Amana ou Wave, en indiquant la référence, puis appuie sur « J'ai effectué le dépôt ».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8840"/>
      </w:tblGrid>
      <w:tr>
        <w:tc>
          <w:tcPr>
            <w:tcW w:type="dxa" w:w="520"/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CA9"/>
                <w:sz w:val="20"/>
                <w:szCs w:val="20"/>
              </w:rPr>
              <w:t xml:space="preserve">4</w:t>
            </w:r>
          </w:p>
        </w:tc>
        <w:tc>
          <w:tcPr>
            <w:tcW w:type="dxa" w:w="8840"/>
            <w:tcMar>
              <w:top w:type="dxa" w:w="40"/>
              <w:left w:type="dxa" w:w="0"/>
              <w:bottom w:type="dxa" w:w="90"/>
              <w:right w:type="dxa" w:w="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Le versement apparaît instantanément dans la file de votre équipe, qui vérifie le dépôt réel et valide au montant reçu.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8840"/>
      </w:tblGrid>
      <w:tr>
        <w:tc>
          <w:tcPr>
            <w:tcW w:type="dxa" w:w="520"/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5CA9"/>
                <w:sz w:val="20"/>
                <w:szCs w:val="20"/>
              </w:rPr>
              <w:t xml:space="preserve">5</w:t>
            </w:r>
          </w:p>
        </w:tc>
        <w:tc>
          <w:tcPr>
            <w:tcW w:type="dxa" w:w="8840"/>
            <w:tcMar>
              <w:top w:type="dxa" w:w="40"/>
              <w:left w:type="dxa" w:w="0"/>
              <w:bottom w:type="dxa" w:w="90"/>
              <w:right w:type="dxa" w:w="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Le portefeuille est crédité en temps réel. Au montant total : achat complété, produit remis, partenaire réglé.</w:t>
            </w:r>
          </w:p>
        </w:tc>
      </w:tr>
    </w:tbl>
    <w:p>
      <w:pPr>
        <w:pBdr>
          <w:bottom w:val="single" w:color="005CA9" w:sz="10" w:space="6"/>
        </w:pBdr>
        <w:spacing w:after="200" w:before="320"/>
      </w:pPr>
      <w:r>
        <w:rPr>
          <w:rFonts w:ascii="Cambria" w:cs="Cambria" w:eastAsia="Cambria" w:hAnsi="Cambria"/>
          <w:b/>
          <w:bCs/>
          <w:color w:val="003A70"/>
          <w:sz w:val="30"/>
          <w:szCs w:val="30"/>
        </w:rPr>
        <w:t xml:space="preserve">3.  Les trois morceaux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Morceau</w:t>
            </w:r>
          </w:p>
        </w:tc>
        <w:tc>
          <w:tcPr>
            <w:tcW w:type="dxa" w:w="440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Rôle</w:t>
            </w:r>
          </w:p>
        </w:tc>
        <w:tc>
          <w:tcPr>
            <w:tcW w:type="dxa" w:w="256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Analogie</w:t>
            </w:r>
          </w:p>
        </w:tc>
      </w:tr>
      <w:tr>
        <w:tc>
          <w:tcPr>
            <w:tcW w:type="dxa" w:w="2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Application mobile</w:t>
            </w:r>
          </w:p>
        </w:tc>
        <w:tc>
          <w:tcPr>
            <w:tcW w:type="dxa" w:w="4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Ce que voit le client — 16 écrans</w:t>
            </w:r>
          </w:p>
        </w:tc>
        <w:tc>
          <w:tcPr>
            <w:tcW w:type="dxa" w:w="25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La salle du restaurant</w:t>
            </w:r>
          </w:p>
        </w:tc>
      </w:tr>
      <w:tr>
        <w:tc>
          <w:tcPr>
            <w:tcW w:type="dxa" w:w="2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Serveur</w:t>
            </w:r>
          </w:p>
        </w:tc>
        <w:tc>
          <w:tcPr>
            <w:tcW w:type="dxa" w:w="4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Toutes les règles — 39 entrées d'API</w:t>
            </w:r>
          </w:p>
        </w:tc>
        <w:tc>
          <w:tcPr>
            <w:tcW w:type="dxa" w:w="25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La cuisine</w:t>
            </w:r>
          </w:p>
        </w:tc>
      </w:tr>
      <w:tr>
        <w:tc>
          <w:tcPr>
            <w:tcW w:type="dxa" w:w="2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Base de données</w:t>
            </w:r>
          </w:p>
        </w:tc>
        <w:tc>
          <w:tcPr>
            <w:tcW w:type="dxa" w:w="44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La mémoire — 14 tables</w:t>
            </w:r>
          </w:p>
        </w:tc>
        <w:tc>
          <w:tcPr>
            <w:tcW w:type="dxa" w:w="25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Le garde-manger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300"/>
      </w:tblGrid>
      <w:tr>
        <w:tc>
          <w:tcPr>
            <w:tcW w:type="dxa" w:w="60"/>
            <w:shd w:fill="A81E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300"/>
            <w:shd w:fill="FCEB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1E1A"/>
                <w:spacing w:val="20"/>
                <w:sz w:val="15"/>
                <w:szCs w:val="15"/>
              </w:rPr>
              <w:t xml:space="preserve">LA RÈGLE ABSOLUE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Rien ne parle jamais directement à la base. Tout passe par le serveur, qui vérifie tout — parce qu'un téléphone peut être trafiqué, un serveur non.</w:t>
            </w:r>
          </w:p>
        </w:tc>
      </w:tr>
    </w:tbl>
    <w:p>
      <w:pPr>
        <w:pBdr>
          <w:bottom w:val="single" w:color="005CA9" w:sz="10" w:space="6"/>
        </w:pBdr>
        <w:spacing w:after="200" w:before="320"/>
      </w:pPr>
      <w:r>
        <w:rPr>
          <w:rFonts w:ascii="Cambria" w:cs="Cambria" w:eastAsia="Cambria" w:hAnsi="Cambria"/>
          <w:b/>
          <w:bCs/>
          <w:color w:val="003A70"/>
          <w:sz w:val="30"/>
          <w:szCs w:val="30"/>
        </w:rPr>
        <w:t xml:space="preserve">4.  Les trois règles qui protègent l'argent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300"/>
      </w:tblGrid>
      <w:tr>
        <w:tc>
          <w:tcPr>
            <w:tcW w:type="dxa" w:w="60"/>
            <w:shd w:fill="17662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300"/>
            <w:shd w:fill="E6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7662F"/>
                <w:spacing w:val="20"/>
                <w:sz w:val="15"/>
                <w:szCs w:val="15"/>
              </w:rPr>
              <w:t xml:space="preserve">CE QUI REND LE SYSTÈME FIABLE</w:t>
            </w:r>
          </w:p>
          <w:p>
            <w:pPr>
              <w:spacing w:after="70" w:line="264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1.  Une écriture validée ne change plus jamais.</w:t>
            </w: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 Une erreur se corrige par une nouvelle ligne signée, jamais par une gomme.</w:t>
            </w:r>
          </w:p>
          <w:p>
            <w:pPr>
              <w:spacing w:after="70" w:line="264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2.  Le solde n'est jamais saisi, il est recalculé</w:t>
            </w: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 depuis toutes les écritures. Un solde faux est donc réparable.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20"/>
                <w:szCs w:val="20"/>
              </w:rPr>
              <w:t xml:space="preserve">3.  Les interdits sont posés dans la base</w:t>
            </w: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, pas seulement dans le code. Un double versement est physiquement impossible, quoi que fasse le programme.</w:t>
            </w:r>
          </w:p>
        </w:tc>
      </w:tr>
    </w:tbl>
    <w:p>
      <w:pPr>
        <w:pBdr>
          <w:bottom w:val="single" w:color="005CA9" w:sz="10" w:space="6"/>
        </w:pBdr>
        <w:spacing w:after="200" w:before="320"/>
      </w:pPr>
      <w:r>
        <w:rPr>
          <w:rFonts w:ascii="Cambria" w:cs="Cambria" w:eastAsia="Cambria" w:hAnsi="Cambria"/>
          <w:b/>
          <w:bCs/>
          <w:color w:val="003A70"/>
          <w:sz w:val="30"/>
          <w:szCs w:val="30"/>
        </w:rPr>
        <w:t xml:space="preserve">5.  Où on en 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Fait</w:t>
            </w:r>
          </w:p>
        </w:tc>
        <w:tc>
          <w:tcPr>
            <w:tcW w:type="dxa" w:w="468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Pas encore fait</w:t>
            </w:r>
          </w:p>
        </w:tc>
      </w:tr>
      <w:tr>
        <w:tc>
          <w:tcPr>
            <w:tcW w:type="dxa" w:w="468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Application mobile — 16 écrans, design abouti</w:t>
            </w:r>
          </w:p>
        </w:tc>
        <w:tc>
          <w:tcPr>
            <w:tcW w:type="dxa" w:w="468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Vrais SMS — passerelle à contractualiser</w:t>
            </w:r>
          </w:p>
        </w:tc>
      </w:tr>
      <w:tr>
        <w:tc>
          <w:tcPr>
            <w:tcW w:type="dxa" w:w="468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Serveur, espace d'administration, espace partenaire</w:t>
            </w:r>
          </w:p>
        </w:tc>
        <w:tc>
          <w:tcPr>
            <w:tcW w:type="dxa" w:w="468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Conditions générales validées par un juriste</w:t>
            </w:r>
          </w:p>
        </w:tc>
      </w:tr>
      <w:tr>
        <w:tc>
          <w:tcPr>
            <w:tcW w:type="dxa" w:w="468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Photos de produits, réduites pour le forfait mobile</w:t>
            </w:r>
          </w:p>
        </w:tc>
        <w:tc>
          <w:tcPr>
            <w:tcW w:type="dxa" w:w="468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Consultation BCEAO / UEMOA</w:t>
            </w:r>
          </w:p>
        </w:tc>
      </w:tr>
      <w:tr>
        <w:tc>
          <w:tcPr>
            <w:tcW w:type="dxa" w:w="468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Notifications en temps réel des deux côtés</w:t>
            </w:r>
          </w:p>
        </w:tc>
        <w:tc>
          <w:tcPr>
            <w:tcW w:type="dxa" w:w="468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Notifications quand l'application est fermée</w:t>
            </w:r>
          </w:p>
        </w:tc>
      </w:tr>
      <w:tr>
        <w:tc>
          <w:tcPr>
            <w:tcW w:type="dxa" w:w="468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26 critères d'acceptation + 18 sur les photos, tous verts</w:t>
            </w:r>
          </w:p>
        </w:tc>
        <w:tc>
          <w:tcPr>
            <w:tcW w:type="dxa" w:w="468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Gestion du catalogue par les partenaires</w:t>
            </w:r>
          </w:p>
        </w:tc>
      </w:tr>
      <w:tr>
        <w:tc>
          <w:tcPr>
            <w:tcW w:type="dxa" w:w="468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Logo, charte graphique, présentation, trois documents</w:t>
            </w:r>
          </w:p>
        </w:tc>
        <w:tc>
          <w:tcPr>
            <w:tcW w:type="dxa" w:w="468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Essai sur un vrai téléphone, par vous</w:t>
            </w:r>
          </w:p>
        </w:tc>
      </w:tr>
    </w:tbl>
    <w:p>
      <w:pPr>
        <w:pBdr>
          <w:bottom w:val="single" w:color="005CA9" w:sz="10" w:space="6"/>
        </w:pBdr>
        <w:spacing w:after="200" w:before="320"/>
      </w:pPr>
      <w:r>
        <w:rPr>
          <w:rFonts w:ascii="Cambria" w:cs="Cambria" w:eastAsia="Cambria" w:hAnsi="Cambria"/>
          <w:b/>
          <w:bCs/>
          <w:color w:val="003A70"/>
          <w:sz w:val="30"/>
          <w:szCs w:val="30"/>
        </w:rPr>
        <w:t xml:space="preserve">6.  Les quatre prochaines étapes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1B2E42"/>
          <w:sz w:val="20"/>
          <w:szCs w:val="20"/>
        </w:rPr>
        <w:t xml:space="preserve">Essayer l'application sur un vrai téléphone</w:t>
      </w:r>
      <w:r>
        <w:rPr>
          <w:rFonts w:ascii="Calibri" w:cs="Calibri" w:eastAsia="Calibri" w:hAnsi="Calibri"/>
          <w:color w:val="1B2E42"/>
          <w:sz w:val="20"/>
          <w:szCs w:val="20"/>
        </w:rPr>
        <w:t xml:space="preserve"> — jamais fait par vous, et tout le reste en dépend.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1B2E42"/>
          <w:sz w:val="20"/>
          <w:szCs w:val="20"/>
        </w:rPr>
        <w:t xml:space="preserve">Arbitrer les règles « à définir »</w:t>
      </w:r>
      <w:r>
        <w:rPr>
          <w:rFonts w:ascii="Calibri" w:cs="Calibri" w:eastAsia="Calibri" w:hAnsi="Calibri"/>
          <w:color w:val="1B2E42"/>
          <w:sz w:val="20"/>
          <w:szCs w:val="20"/>
        </w:rPr>
        <w:t xml:space="preserve"> : frais d'annulation, délai d'inactivité, arrondi. Elles sont la substance des conditions générales.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1B2E42"/>
          <w:sz w:val="20"/>
          <w:szCs w:val="20"/>
        </w:rPr>
        <w:t xml:space="preserve">Consultation juridique BCEAO / UEMOA</w:t>
      </w:r>
      <w:r>
        <w:rPr>
          <w:rFonts w:ascii="Calibri" w:cs="Calibri" w:eastAsia="Calibri" w:hAnsi="Calibri"/>
          <w:color w:val="1B2E42"/>
          <w:sz w:val="20"/>
          <w:szCs w:val="20"/>
        </w:rPr>
        <w:t xml:space="preserve"> avant toute ouverture au public.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1B2E42"/>
          <w:sz w:val="20"/>
          <w:szCs w:val="20"/>
        </w:rPr>
        <w:t xml:space="preserve">Contractualiser une passerelle SMS</w:t>
      </w:r>
      <w:r>
        <w:rPr>
          <w:rFonts w:ascii="Calibri" w:cs="Calibri" w:eastAsia="Calibri" w:hAnsi="Calibri"/>
          <w:color w:val="1B2E42"/>
          <w:sz w:val="20"/>
          <w:szCs w:val="20"/>
        </w:rPr>
        <w:t xml:space="preserve"> — sans elle, aucune inscription ni connexion administrateur n'est possible.</w:t>
      </w:r>
    </w:p>
    <w:p>
      <w:pPr>
        <w:spacing w:after="1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300"/>
      </w:tblGrid>
      <w:tr>
        <w:tc>
          <w:tcPr>
            <w:tcW w:type="dxa" w:w="60"/>
            <w:shd w:fill="17662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300"/>
            <w:shd w:fill="E6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7662F"/>
                <w:spacing w:val="20"/>
                <w:sz w:val="15"/>
                <w:szCs w:val="15"/>
              </w:rPr>
              <w:t xml:space="preserve">À RETENIR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Le logiciel n'est plus ce qui bloque. Sur ces quatre étapes, une seule relève du développement. Ce sont vos démarches, contrats et décisions de gestion qui commandent désormais le calendrier.</w:t>
            </w:r>
          </w:p>
        </w:tc>
      </w:tr>
    </w:tbl>
    <w:p>
      <w:pPr>
        <w:pageBreakBefore/>
        <w:pBdr>
          <w:bottom w:val="single" w:color="005CA9" w:sz="10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003A70"/>
          <w:sz w:val="30"/>
          <w:szCs w:val="30"/>
        </w:rPr>
        <w:t xml:space="preserve">7.  Installer et tester</w:t>
      </w:r>
    </w:p>
    <w:p>
      <w:pPr>
        <w:spacing w:after="11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Commandes pour Windows (invite de commandes </w:t>
      </w:r>
      <w:r>
        <w:rPr>
          <w:rFonts w:ascii="Consolas" w:cs="Consolas" w:eastAsia="Consolas" w:hAnsi="Consolas"/>
          <w:color w:val="1B2E42"/>
          <w:sz w:val="20"/>
          <w:szCs w:val="20"/>
        </w:rPr>
        <w:t xml:space="preserve">cmd</w:t>
      </w:r>
      <w:r>
        <w:rPr>
          <w:rFonts w:ascii="Calibri" w:cs="Calibri" w:eastAsia="Calibri" w:hAnsi="Calibri"/>
          <w:color w:val="1B2E42"/>
          <w:sz w:val="20"/>
          <w:szCs w:val="20"/>
        </w:rPr>
        <w:t xml:space="preserve">). Le PC et le téléphone doivent être sur le même Wi-Fi. Guide détaillé pas à pas : </w:t>
      </w:r>
      <w:r>
        <w:rPr>
          <w:rFonts w:ascii="Consolas" w:cs="Consolas" w:eastAsia="Consolas" w:hAnsi="Consolas"/>
          <w:color w:val="1B2E42"/>
          <w:sz w:val="20"/>
          <w:szCs w:val="20"/>
        </w:rPr>
        <w:t xml:space="preserve">docs/guide-essai.md</w:t>
      </w:r>
      <w:r>
        <w:rPr>
          <w:rFonts w:ascii="Calibri" w:cs="Calibri" w:eastAsia="Calibri" w:hAnsi="Calibri"/>
          <w:color w:val="1B2E42"/>
          <w:sz w:val="20"/>
          <w:szCs w:val="20"/>
        </w:rPr>
        <w:t xml:space="preserve">.</w:t>
      </w:r>
    </w:p>
    <w:p>
      <w:pPr>
        <w:spacing w:after="110" w:before="260"/>
      </w:pPr>
      <w:r>
        <w:rPr>
          <w:rFonts w:ascii="Cambria" w:cs="Cambria" w:eastAsia="Cambria" w:hAnsi="Cambria"/>
          <w:b/>
          <w:bCs/>
          <w:color w:val="003A70"/>
          <w:sz w:val="24"/>
          <w:szCs w:val="24"/>
        </w:rPr>
        <w:t xml:space="preserve">① Installer les quatre outils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1B2E42"/>
          <w:sz w:val="20"/>
          <w:szCs w:val="20"/>
        </w:rPr>
        <w:t xml:space="preserve">Node.js</w:t>
      </w:r>
      <w:r>
        <w:rPr>
          <w:rFonts w:ascii="Calibri" w:cs="Calibri" w:eastAsia="Calibri" w:hAnsi="Calibri"/>
          <w:color w:val="1B2E42"/>
          <w:sz w:val="20"/>
          <w:szCs w:val="20"/>
        </w:rPr>
        <w:t xml:space="preserve"> (version LTS) — nodejs.org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1B2E42"/>
          <w:sz w:val="20"/>
          <w:szCs w:val="20"/>
        </w:rPr>
        <w:t xml:space="preserve">Git</w:t>
      </w:r>
      <w:r>
        <w:rPr>
          <w:rFonts w:ascii="Calibri" w:cs="Calibri" w:eastAsia="Calibri" w:hAnsi="Calibri"/>
          <w:color w:val="1B2E42"/>
          <w:sz w:val="20"/>
          <w:szCs w:val="20"/>
        </w:rPr>
        <w:t xml:space="preserve"> — git-scm.com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1B2E42"/>
          <w:sz w:val="20"/>
          <w:szCs w:val="20"/>
        </w:rPr>
        <w:t xml:space="preserve">Expo Go</w:t>
      </w:r>
      <w:r>
        <w:rPr>
          <w:rFonts w:ascii="Calibri" w:cs="Calibri" w:eastAsia="Calibri" w:hAnsi="Calibri"/>
          <w:color w:val="1B2E42"/>
          <w:sz w:val="20"/>
          <w:szCs w:val="20"/>
        </w:rPr>
        <w:t xml:space="preserve"> sur le téléphone — Play Store ou App Store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1B2E42"/>
          <w:sz w:val="20"/>
          <w:szCs w:val="20"/>
        </w:rPr>
        <w:t xml:space="preserve">PostgreSQL 17</w:t>
      </w:r>
      <w:r>
        <w:rPr>
          <w:rFonts w:ascii="Calibri" w:cs="Calibri" w:eastAsia="Calibri" w:hAnsi="Calibri"/>
          <w:color w:val="1B2E42"/>
          <w:sz w:val="20"/>
          <w:szCs w:val="20"/>
        </w:rPr>
        <w:t xml:space="preserve"> — enterprisedb.com/downloads/postgres-postgresql-downloads, colonne Windows x86-64. Notez le mot de passe demandé pour l'utilisateur « postgres », gardez le port 5432, décochez Stack Builder.</w:t>
      </w:r>
    </w:p>
    <w:p>
      <w:pPr>
        <w:spacing w:after="60"/>
      </w:pPr>
      <w:r>
        <w:rPr>
          <w:sz w:val="2"/>
          <w:szCs w:val="2"/>
        </w:rPr>
        <w:t xml:space="preserve"/>
      </w:r>
    </w:p>
    <w:p>
      <w:pPr>
        <w:spacing w:after="6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Puis, dans cmd, pour que les commandes psql soient reconnues :</w:t>
      </w:r>
    </w:p>
    <w:p>
      <w:pPr>
        <w:shd w:fill="F2F6FA" w:val="clear"/>
        <w:spacing w:after="40" w:line="250"/>
      </w:pPr>
      <w:r>
        <w:rPr>
          <w:rFonts w:ascii="Consolas" w:cs="Consolas" w:eastAsia="Consolas" w:hAnsi="Consolas"/>
          <w:color w:val="1B2E42"/>
          <w:sz w:val="15"/>
          <w:szCs w:val="15"/>
        </w:rPr>
        <w:t xml:space="preserve">  set PATH=%PATH%;C:\Program Files\PostgreSQL\17\bin</w:t>
      </w:r>
    </w:p>
    <w:p>
      <w:pPr>
        <w:spacing w:after="110" w:before="260"/>
      </w:pPr>
      <w:r>
        <w:rPr>
          <w:rFonts w:ascii="Cambria" w:cs="Cambria" w:eastAsia="Cambria" w:hAnsi="Cambria"/>
          <w:b/>
          <w:bCs/>
          <w:color w:val="003A70"/>
          <w:sz w:val="24"/>
          <w:szCs w:val="24"/>
        </w:rPr>
        <w:t xml:space="preserve">② Créer la base — une seule fois</w:t>
      </w:r>
    </w:p>
    <w:p>
      <w:pPr>
        <w:shd w:fill="F2F6FA" w:val="clear"/>
        <w:spacing w:after="40" w:line="250"/>
      </w:pPr>
      <w:r>
        <w:rPr>
          <w:rFonts w:ascii="Consolas" w:cs="Consolas" w:eastAsia="Consolas" w:hAnsi="Consolas"/>
          <w:color w:val="1B2E42"/>
          <w:sz w:val="15"/>
          <w:szCs w:val="15"/>
        </w:rPr>
        <w:t xml:space="preserve">  psql -U postgres -c "CREATE USER kkp WITH PASSWORD 'kkp' CREATEDB;"</w:t>
      </w:r>
    </w:p>
    <w:p>
      <w:pPr>
        <w:shd w:fill="F2F6FA" w:val="clear"/>
        <w:spacing w:after="40" w:line="250"/>
      </w:pPr>
      <w:r>
        <w:rPr>
          <w:rFonts w:ascii="Consolas" w:cs="Consolas" w:eastAsia="Consolas" w:hAnsi="Consolas"/>
          <w:color w:val="1B2E42"/>
          <w:sz w:val="15"/>
          <w:szCs w:val="15"/>
        </w:rPr>
        <w:t xml:space="preserve">  psql -U postgres -c "CREATE DATABASE kaynakaynapay OWNER kkp;"</w:t>
      </w:r>
    </w:p>
    <w:p>
      <w:pPr>
        <w:spacing w:after="110" w:before="260"/>
      </w:pPr>
      <w:r>
        <w:rPr>
          <w:rFonts w:ascii="Cambria" w:cs="Cambria" w:eastAsia="Cambria" w:hAnsi="Cambria"/>
          <w:b/>
          <w:bCs/>
          <w:color w:val="003A70"/>
          <w:sz w:val="24"/>
          <w:szCs w:val="24"/>
        </w:rPr>
        <w:t xml:space="preserve">③ La plateforme</w:t>
      </w:r>
    </w:p>
    <w:p>
      <w:pPr>
        <w:shd w:fill="F2F6FA" w:val="clear"/>
        <w:spacing w:after="40" w:line="250"/>
      </w:pPr>
      <w:r>
        <w:rPr>
          <w:rFonts w:ascii="Consolas" w:cs="Consolas" w:eastAsia="Consolas" w:hAnsi="Consolas"/>
          <w:color w:val="1B2E42"/>
          <w:sz w:val="15"/>
          <w:szCs w:val="15"/>
        </w:rPr>
        <w:t xml:space="preserve">  git clone -b claude/kayna-kayna-pay-presentation-gp4lgf https://github.com/mly-dev/projet.git</w:t>
      </w:r>
    </w:p>
    <w:p>
      <w:pPr>
        <w:shd w:fill="F2F6FA" w:val="clear"/>
        <w:spacing w:after="40" w:line="250"/>
      </w:pPr>
      <w:r>
        <w:rPr>
          <w:rFonts w:ascii="Consolas" w:cs="Consolas" w:eastAsia="Consolas" w:hAnsi="Consolas"/>
          <w:color w:val="1B2E42"/>
          <w:sz w:val="15"/>
          <w:szCs w:val="15"/>
        </w:rPr>
        <w:t xml:space="preserve">  cd projet\kayna-kayna-pay\plateforme</w:t>
      </w:r>
    </w:p>
    <w:p>
      <w:pPr>
        <w:shd w:fill="F2F6FA" w:val="clear"/>
        <w:spacing w:after="40" w:line="250"/>
      </w:pPr>
      <w:r>
        <w:rPr>
          <w:rFonts w:ascii="Consolas" w:cs="Consolas" w:eastAsia="Consolas" w:hAnsi="Consolas"/>
          <w:color w:val="1B2E42"/>
          <w:sz w:val="15"/>
          <w:szCs w:val="15"/>
        </w:rPr>
        <w:t xml:space="preserve">  copy .env.example .env</w:t>
      </w:r>
    </w:p>
    <w:p>
      <w:pPr>
        <w:shd w:fill="F2F6FA" w:val="clear"/>
        <w:spacing w:after="40" w:line="250"/>
      </w:pPr>
      <w:r>
        <w:rPr>
          <w:rFonts w:ascii="Consolas" w:cs="Consolas" w:eastAsia="Consolas" w:hAnsi="Consolas"/>
          <w:color w:val="1B2E42"/>
          <w:sz w:val="15"/>
          <w:szCs w:val="15"/>
        </w:rPr>
        <w:t xml:space="preserve">  npm install</w:t>
      </w:r>
    </w:p>
    <w:p>
      <w:pPr>
        <w:shd w:fill="F2F6FA" w:val="clear"/>
        <w:spacing w:after="40" w:line="250"/>
      </w:pPr>
      <w:r>
        <w:rPr>
          <w:rFonts w:ascii="Consolas" w:cs="Consolas" w:eastAsia="Consolas" w:hAnsi="Consolas"/>
          <w:color w:val="1B2E42"/>
          <w:sz w:val="15"/>
          <w:szCs w:val="15"/>
        </w:rPr>
        <w:t xml:space="preserve">  npm run verifier</w:t>
      </w:r>
    </w:p>
    <w:p>
      <w:pPr>
        <w:shd w:fill="F2F6FA" w:val="clear"/>
        <w:spacing w:after="40" w:line="250"/>
      </w:pPr>
      <w:r>
        <w:rPr>
          <w:rFonts w:ascii="Consolas" w:cs="Consolas" w:eastAsia="Consolas" w:hAnsi="Consolas"/>
          <w:color w:val="1B2E42"/>
          <w:sz w:val="15"/>
          <w:szCs w:val="15"/>
        </w:rPr>
        <w:t xml:space="preserve">  npm run db:migrer &amp;&amp; npm run db:seed &amp;&amp; npm run dev</w:t>
      </w:r>
    </w:p>
    <w:p>
      <w:pPr>
        <w:spacing w:after="110" w:before="260"/>
      </w:pPr>
      <w:r>
        <w:rPr>
          <w:rFonts w:ascii="Cambria" w:cs="Cambria" w:eastAsia="Cambria" w:hAnsi="Cambria"/>
          <w:b/>
          <w:bCs/>
          <w:color w:val="003A70"/>
          <w:sz w:val="24"/>
          <w:szCs w:val="24"/>
        </w:rPr>
        <w:t xml:space="preserve">④ L'application mobile — dans une deuxième fenêtre</w:t>
      </w:r>
    </w:p>
    <w:p>
      <w:pPr>
        <w:shd w:fill="F2F6FA" w:val="clear"/>
        <w:spacing w:after="40" w:line="250"/>
      </w:pPr>
      <w:r>
        <w:rPr>
          <w:rFonts w:ascii="Consolas" w:cs="Consolas" w:eastAsia="Consolas" w:hAnsi="Consolas"/>
          <w:color w:val="1B2E42"/>
          <w:sz w:val="15"/>
          <w:szCs w:val="15"/>
        </w:rPr>
        <w:t xml:space="preserve">  cd projet\kayna-kayna-pay\mobile</w:t>
      </w:r>
    </w:p>
    <w:p>
      <w:pPr>
        <w:shd w:fill="F2F6FA" w:val="clear"/>
        <w:spacing w:after="40" w:line="250"/>
      </w:pPr>
      <w:r>
        <w:rPr>
          <w:rFonts w:ascii="Consolas" w:cs="Consolas" w:eastAsia="Consolas" w:hAnsi="Consolas"/>
          <w:color w:val="1B2E42"/>
          <w:sz w:val="15"/>
          <w:szCs w:val="15"/>
        </w:rPr>
        <w:t xml:space="preserve">  copy .env.example .env</w:t>
      </w:r>
    </w:p>
    <w:p>
      <w:pPr>
        <w:spacing w:after="50"/>
      </w:pPr>
      <w:r>
        <w:rPr>
          <w:sz w:val="2"/>
          <w:szCs w:val="2"/>
        </w:rPr>
        <w:t xml:space="preserve"/>
      </w:r>
    </w:p>
    <w:p>
      <w:pPr>
        <w:spacing w:after="6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Ouvrez ce fichier </w:t>
      </w:r>
      <w:r>
        <w:rPr>
          <w:rFonts w:ascii="Consolas" w:cs="Consolas" w:eastAsia="Consolas" w:hAnsi="Consolas"/>
          <w:color w:val="1B2E42"/>
          <w:sz w:val="20"/>
          <w:szCs w:val="20"/>
        </w:rPr>
        <w:t xml:space="preserve">.env</w:t>
      </w:r>
      <w:r>
        <w:rPr>
          <w:rFonts w:ascii="Calibri" w:cs="Calibri" w:eastAsia="Calibri" w:hAnsi="Calibri"/>
          <w:color w:val="1B2E42"/>
          <w:sz w:val="20"/>
          <w:szCs w:val="20"/>
        </w:rPr>
        <w:t xml:space="preserve"> et remplacez l'adresse par l'IP du PC, obtenue avec </w:t>
      </w:r>
      <w:r>
        <w:rPr>
          <w:rFonts w:ascii="Consolas" w:cs="Consolas" w:eastAsia="Consolas" w:hAnsi="Consolas"/>
          <w:color w:val="1B2E42"/>
          <w:sz w:val="20"/>
          <w:szCs w:val="20"/>
        </w:rPr>
        <w:t xml:space="preserve">ipconfig</w:t>
      </w:r>
      <w:r>
        <w:rPr>
          <w:rFonts w:ascii="Calibri" w:cs="Calibri" w:eastAsia="Calibri" w:hAnsi="Calibri"/>
          <w:color w:val="1B2E42"/>
          <w:sz w:val="20"/>
          <w:szCs w:val="20"/>
        </w:rPr>
        <w:t xml:space="preserve"> (celle de votre carte Wi-Fi ou Ethernet, pas une adresse 172.x ni 192.168.56.x). Puis :</w:t>
      </w:r>
    </w:p>
    <w:p>
      <w:pPr>
        <w:shd w:fill="F2F6FA" w:val="clear"/>
        <w:spacing w:after="40" w:line="250"/>
      </w:pPr>
      <w:r>
        <w:rPr>
          <w:rFonts w:ascii="Consolas" w:cs="Consolas" w:eastAsia="Consolas" w:hAnsi="Consolas"/>
          <w:color w:val="1B2E42"/>
          <w:sz w:val="15"/>
          <w:szCs w:val="15"/>
        </w:rPr>
        <w:t xml:space="preserve">  npm install</w:t>
      </w:r>
    </w:p>
    <w:p>
      <w:pPr>
        <w:shd w:fill="F2F6FA" w:val="clear"/>
        <w:spacing w:after="40" w:line="250"/>
      </w:pPr>
      <w:r>
        <w:rPr>
          <w:rFonts w:ascii="Consolas" w:cs="Consolas" w:eastAsia="Consolas" w:hAnsi="Consolas"/>
          <w:color w:val="1B2E42"/>
          <w:sz w:val="15"/>
          <w:szCs w:val="15"/>
        </w:rPr>
        <w:t xml:space="preserve">  npx expo start</w:t>
      </w:r>
    </w:p>
    <w:p>
      <w:pPr>
        <w:spacing w:after="60"/>
      </w:pPr>
      <w:r>
        <w:rPr>
          <w:sz w:val="2"/>
          <w:szCs w:val="2"/>
        </w:rPr>
        <w:t xml:space="preserve"/>
      </w:r>
    </w:p>
    <w:p>
      <w:pPr>
        <w:spacing w:after="6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Scannez le QR code avec Expo Go. Si le QR affiche 127.0.0.1, forcez l'adresse :</w:t>
      </w:r>
    </w:p>
    <w:p>
      <w:pPr>
        <w:shd w:fill="F2F6FA" w:val="clear"/>
        <w:spacing w:after="40" w:line="250"/>
      </w:pPr>
      <w:r>
        <w:rPr>
          <w:rFonts w:ascii="Consolas" w:cs="Consolas" w:eastAsia="Consolas" w:hAnsi="Consolas"/>
          <w:color w:val="1B2E42"/>
          <w:sz w:val="15"/>
          <w:szCs w:val="15"/>
        </w:rPr>
        <w:t xml:space="preserve">  set REACT_NATIVE_PACKAGER_HOSTNAME=192.168.1.231</w:t>
      </w:r>
    </w:p>
    <w:p>
      <w:pPr>
        <w:spacing w:after="110" w:before="260"/>
      </w:pPr>
      <w:r>
        <w:rPr>
          <w:rFonts w:ascii="Cambria" w:cs="Cambria" w:eastAsia="Cambria" w:hAnsi="Cambria"/>
          <w:b/>
          <w:bCs/>
          <w:color w:val="003A70"/>
          <w:sz w:val="24"/>
          <w:szCs w:val="24"/>
        </w:rPr>
        <w:t xml:space="preserve">⑤ Mettre à jour, plus tard</w:t>
      </w:r>
    </w:p>
    <w:p>
      <w:pPr>
        <w:spacing w:after="6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Une seule commande depuis le dossier </w:t>
      </w:r>
      <w:r>
        <w:rPr>
          <w:rFonts w:ascii="Consolas" w:cs="Consolas" w:eastAsia="Consolas" w:hAnsi="Consolas"/>
          <w:color w:val="1B2E42"/>
          <w:sz w:val="20"/>
          <w:szCs w:val="20"/>
        </w:rPr>
        <w:t xml:space="preserve">kayna-kayna-pay</w:t>
      </w:r>
      <w:r>
        <w:rPr>
          <w:rFonts w:ascii="Calibri" w:cs="Calibri" w:eastAsia="Calibri" w:hAnsi="Calibri"/>
          <w:color w:val="1B2E42"/>
          <w:sz w:val="20"/>
          <w:szCs w:val="20"/>
        </w:rPr>
        <w:t xml:space="preserve"> :</w:t>
      </w:r>
    </w:p>
    <w:p>
      <w:pPr>
        <w:shd w:fill="F2F6FA" w:val="clear"/>
        <w:spacing w:after="40" w:line="250"/>
      </w:pPr>
      <w:r>
        <w:rPr>
          <w:rFonts w:ascii="Consolas" w:cs="Consolas" w:eastAsia="Consolas" w:hAnsi="Consolas"/>
          <w:color w:val="1B2E42"/>
          <w:sz w:val="15"/>
          <w:szCs w:val="15"/>
        </w:rPr>
        <w:t xml:space="preserve">  maj.cmd</w:t>
      </w:r>
    </w:p>
    <w:p>
      <w:pPr>
        <w:spacing w:after="50"/>
      </w:pPr>
      <w:r>
        <w:rPr>
          <w:sz w:val="2"/>
          <w:szCs w:val="2"/>
        </w:rPr>
        <w:t xml:space="preserve"/>
      </w:r>
    </w:p>
    <w:p>
      <w:pPr>
        <w:spacing w:after="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Elle récupère la dernière version sans se laisser bloquer par les fichiers de verrouillage npm, que git refuse sinon d'écraser. Relancez ensuite les deux fenêtres, avec npx expo start -c côté mobile pour vider le cache.</w:t>
      </w:r>
    </w:p>
    <w:p>
      <w:pPr>
        <w:spacing w:after="2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300"/>
      </w:tblGrid>
      <w:tr>
        <w:tc>
          <w:tcPr>
            <w:tcW w:type="dxa" w:w="60"/>
            <w:shd w:fill="F2A9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300"/>
            <w:shd w:fill="FFF6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A6100"/>
                <w:spacing w:val="20"/>
                <w:sz w:val="15"/>
                <w:szCs w:val="15"/>
              </w:rPr>
              <w:t xml:space="preserve">EN CAS DE BLOCAGE</w:t>
            </w:r>
          </w:p>
          <w:p>
            <w:pPr>
              <w:spacing w:after="70" w:line="264"/>
            </w:pPr>
            <w:r>
              <w:rPr>
                <w:rFonts w:ascii="Consolas" w:cs="Consolas" w:eastAsia="Consolas" w:hAnsi="Consolas"/>
                <w:b/>
                <w:bCs/>
                <w:color w:val="1B2E42"/>
                <w:sz w:val="20"/>
                <w:szCs w:val="20"/>
              </w:rPr>
              <w:t xml:space="preserve">npm run verifier</w:t>
            </w: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 contrôle Node, les dépendances, le fichier .env, PostgreSQL, les migrations et le jeu de démonstration, puis affiche la commande exacte qui répare ce qui manque.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Les codes SMS s'affichent dans la fenêtre de la plateforme, encadrés, et non sur un vrai téléphone : la passerelle réelle n'est pas encore contractualisée.</w:t>
            </w:r>
          </w:p>
        </w:tc>
      </w:tr>
    </w:tbl>
    <w:p>
      <w:pPr>
        <w:pBdr>
          <w:bottom w:val="single" w:color="005CA9" w:sz="10" w:space="6"/>
        </w:pBdr>
        <w:spacing w:after="200" w:before="320"/>
      </w:pPr>
      <w:r>
        <w:rPr>
          <w:rFonts w:ascii="Cambria" w:cs="Cambria" w:eastAsia="Cambria" w:hAnsi="Cambria"/>
          <w:b/>
          <w:bCs/>
          <w:color w:val="003A70"/>
          <w:sz w:val="30"/>
          <w:szCs w:val="30"/>
        </w:rPr>
        <w:t xml:space="preserve">8.  Les comptes de démonstration</w:t>
      </w:r>
    </w:p>
    <w:p>
      <w:pPr>
        <w:spacing w:after="110" w:line="264"/>
      </w:pPr>
      <w:r>
        <w:rPr>
          <w:rFonts w:ascii="Calibri" w:cs="Calibri" w:eastAsia="Calibri" w:hAnsi="Calibri"/>
          <w:color w:val="1B2E42"/>
          <w:sz w:val="20"/>
          <w:szCs w:val="20"/>
        </w:rPr>
        <w:t xml:space="preserve">Créés par </w:t>
      </w:r>
      <w:r>
        <w:rPr>
          <w:rFonts w:ascii="Consolas" w:cs="Consolas" w:eastAsia="Consolas" w:hAnsi="Consolas"/>
          <w:color w:val="1B2E42"/>
          <w:sz w:val="20"/>
          <w:szCs w:val="20"/>
        </w:rPr>
        <w:t xml:space="preserve">npm run db:seed</w:t>
      </w:r>
      <w:r>
        <w:rPr>
          <w:rFonts w:ascii="Calibri" w:cs="Calibri" w:eastAsia="Calibri" w:hAnsi="Calibri"/>
          <w:color w:val="1B2E42"/>
          <w:sz w:val="20"/>
          <w:szCs w:val="20"/>
        </w:rPr>
        <w:t xml:space="preserve">. À ne jamais reprendre en production.</w:t>
      </w:r>
    </w:p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200"/>
        <w:gridCol w:w="2560"/>
      </w:tblGrid>
      <w:tr>
        <w:trPr>
          <w:tblHeader/>
        </w:trPr>
        <w:tc>
          <w:tcPr>
            <w:tcW w:type="dxa" w:w="230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Rôle</w:t>
            </w:r>
          </w:p>
        </w:tc>
        <w:tc>
          <w:tcPr>
            <w:tcW w:type="dxa" w:w="230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Identifiant</w:t>
            </w:r>
          </w:p>
        </w:tc>
        <w:tc>
          <w:tcPr>
            <w:tcW w:type="dxa" w:w="220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Mot de passe</w:t>
            </w:r>
          </w:p>
        </w:tc>
        <w:tc>
          <w:tcPr>
            <w:tcW w:type="dxa" w:w="2560"/>
            <w:shd w:fill="EAF2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3A70"/>
                <w:sz w:val="15"/>
                <w:szCs w:val="15"/>
              </w:rPr>
              <w:t xml:space="preserve">Où se connecter</w:t>
            </w:r>
          </w:p>
        </w:tc>
      </w:tr>
      <w:tr>
        <w:tc>
          <w:tcPr>
            <w:tcW w:type="dxa" w:w="23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Client</w:t>
            </w:r>
          </w:p>
        </w:tc>
        <w:tc>
          <w:tcPr>
            <w:tcW w:type="dxa" w:w="23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E42"/>
                <w:sz w:val="17"/>
                <w:szCs w:val="17"/>
              </w:rPr>
              <w:t xml:space="preserve">+22791111111</w:t>
            </w:r>
          </w:p>
        </w:tc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E42"/>
                <w:sz w:val="17"/>
                <w:szCs w:val="17"/>
              </w:rPr>
              <w:t xml:space="preserve">client123</w:t>
            </w:r>
          </w:p>
        </w:tc>
        <w:tc>
          <w:tcPr>
            <w:tcW w:type="dxa" w:w="25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Application mobile</w:t>
            </w:r>
          </w:p>
        </w:tc>
      </w:tr>
      <w:tr>
        <w:tc>
          <w:tcPr>
            <w:tcW w:type="dxa" w:w="23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Administrateur</w:t>
            </w:r>
          </w:p>
        </w:tc>
        <w:tc>
          <w:tcPr>
            <w:tcW w:type="dxa" w:w="23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E42"/>
                <w:sz w:val="17"/>
                <w:szCs w:val="17"/>
              </w:rPr>
              <w:t xml:space="preserve">+22790000010</w:t>
            </w:r>
          </w:p>
        </w:tc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E42"/>
                <w:sz w:val="17"/>
                <w:szCs w:val="17"/>
              </w:rPr>
              <w:t xml:space="preserve">admin123</w:t>
            </w:r>
          </w:p>
        </w:tc>
        <w:tc>
          <w:tcPr>
            <w:tcW w:type="dxa" w:w="25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/admin (code SMS exigé)</w:t>
            </w:r>
          </w:p>
        </w:tc>
      </w:tr>
      <w:tr>
        <w:tc>
          <w:tcPr>
            <w:tcW w:type="dxa" w:w="23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Super-administrateur</w:t>
            </w:r>
          </w:p>
        </w:tc>
        <w:tc>
          <w:tcPr>
            <w:tcW w:type="dxa" w:w="23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E42"/>
                <w:sz w:val="17"/>
                <w:szCs w:val="17"/>
              </w:rPr>
              <w:t xml:space="preserve">+22790000000</w:t>
            </w:r>
          </w:p>
        </w:tc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E42"/>
                <w:sz w:val="17"/>
                <w:szCs w:val="17"/>
              </w:rPr>
              <w:t xml:space="preserve">superadmin123</w:t>
            </w:r>
          </w:p>
        </w:tc>
        <w:tc>
          <w:tcPr>
            <w:tcW w:type="dxa" w:w="25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/admin (code SMS exigé)</w:t>
            </w:r>
          </w:p>
        </w:tc>
      </w:tr>
      <w:tr>
        <w:tc>
          <w:tcPr>
            <w:tcW w:type="dxa" w:w="23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E42"/>
                <w:sz w:val="17"/>
                <w:szCs w:val="17"/>
              </w:rPr>
              <w:t xml:space="preserve">Partenaire</w:t>
            </w:r>
          </w:p>
        </w:tc>
        <w:tc>
          <w:tcPr>
            <w:tcW w:type="dxa" w:w="23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E42"/>
                <w:sz w:val="17"/>
                <w:szCs w:val="17"/>
              </w:rPr>
              <w:t xml:space="preserve">+22792000001</w:t>
            </w:r>
          </w:p>
        </w:tc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B2E42"/>
                <w:sz w:val="17"/>
                <w:szCs w:val="17"/>
              </w:rPr>
              <w:t xml:space="preserve">partenaire123</w:t>
            </w:r>
          </w:p>
        </w:tc>
        <w:tc>
          <w:tcPr>
            <w:tcW w:type="dxa" w:w="2560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2E42"/>
                <w:sz w:val="17"/>
                <w:szCs w:val="17"/>
              </w:rPr>
              <w:t xml:space="preserve">/partenaire</w:t>
            </w:r>
          </w:p>
        </w:tc>
      </w:tr>
    </w:tbl>
    <w:p>
      <w:pPr>
        <w:spacing w:after="1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300"/>
      </w:tblGrid>
      <w:tr>
        <w:tc>
          <w:tcPr>
            <w:tcW w:type="dxa" w:w="60"/>
            <w:shd w:fill="A81E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300"/>
            <w:shd w:fill="FCEB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1E1A"/>
                <w:spacing w:val="20"/>
                <w:sz w:val="15"/>
                <w:szCs w:val="15"/>
              </w:rPr>
              <w:t xml:space="preserve">LE CODE SMS DES ADMINISTRATEURS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E42"/>
                <w:sz w:val="20"/>
                <w:szCs w:val="20"/>
              </w:rPr>
              <w:t xml:space="preserve">Le mot de passe seul n'ouvre aucune session d'administration. Un code à six chiffres est envoyé — en développement, il s'affiche dans la fenêtre de la plateforme, dans un cadre. N'inventez pas un code au hasard : il sera refusé.</w:t>
            </w:r>
          </w:p>
        </w:tc>
      </w:tr>
    </w:tbl>
    <w:p>
      <w:pPr>
        <w:spacing w:after="240"/>
      </w:pPr>
      <w:r>
        <w:rPr>
          <w:sz w:val="2"/>
          <w:szCs w:val="2"/>
        </w:rPr>
        <w:t xml:space="preserve"/>
      </w:r>
    </w:p>
    <w:p>
      <w:pPr>
        <w:spacing w:after="110" w:line="264"/>
        <w:jc w:val="center"/>
      </w:pPr>
      <w:r>
        <w:rPr>
          <w:rFonts w:ascii="Calibri" w:cs="Calibri" w:eastAsia="Calibri" w:hAnsi="Calibri"/>
          <w:i/>
          <w:iCs/>
          <w:color w:val="5D7285"/>
          <w:sz w:val="19"/>
          <w:szCs w:val="19"/>
        </w:rPr>
        <w:t xml:space="preserve">« Kayan si djineh koy yan gandji » — faire petit n'empêche pas d'avancer.</w:t>
      </w:r>
    </w:p>
    <w:sectPr>
      <w:headerReference w:type="default" r:id="rId7"/>
      <w:footerReference w:type="default" r:id="rId8"/>
      <w:pgSz w:w="11906" w:h="16838" w:orient="portrait"/>
      <w:pgMar w:top="115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60"/>
    </w:pPr>
    <w:r>
      <w:rPr>
        <w:rFonts w:ascii="Calibri" w:cs="Calibri" w:eastAsia="Calibri" w:hAnsi="Calibri"/>
        <w:color w:val="5D7285"/>
        <w:sz w:val="15"/>
        <w:szCs w:val="15"/>
      </w:rPr>
      <w:t xml:space="preserve">Août 2026</w:t>
    </w:r>
    <w:r>
      <w:rPr>
        <w:sz w:val="15"/>
        <w:szCs w:val="15"/>
      </w:rPr>
      <w:t xml:space="preserve">	</w:t>
    </w:r>
    <w:r>
      <w:rPr>
        <w:rFonts w:ascii="Calibri" w:cs="Calibri" w:eastAsia="Calibri" w:hAnsi="Calibri"/>
        <w:b/>
        <w:bCs/>
        <w:color w:val="005CA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D7285"/>
        <w:sz w:val="15"/>
        <w:szCs w:val="15"/>
      </w:rPr>
      <w:t xml:space="preserve"> / </w:t>
    </w:r>
    <w:r>
      <w:rPr>
        <w:rFonts w:ascii="Calibri" w:cs="Calibri" w:eastAsia="Calibri" w:hAnsi="Calibri"/>
        <w:color w:val="5D728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E3EE" w:sz="4" w:space="6"/>
      </w:pBdr>
      <w:tabs>
        <w:tab w:val="right" w:pos="9360"/>
      </w:tabs>
      <w:spacing w:after="0"/>
    </w:pPr>
    <w:r>
      <w:rPr>
        <w:rFonts w:ascii="Calibri" w:cs="Calibri" w:eastAsia="Calibri" w:hAnsi="Calibri"/>
        <w:b/>
        <w:bCs/>
        <w:color w:val="005CA9"/>
        <w:sz w:val="15"/>
        <w:szCs w:val="15"/>
      </w:rPr>
      <w:t xml:space="preserve">Kayna Kayna Pay</w:t>
    </w:r>
    <w:r>
      <w:rPr>
        <w:rFonts w:ascii="Calibri" w:cs="Calibri" w:eastAsia="Calibri" w:hAnsi="Calibri"/>
        <w:color w:val="5D7285"/>
        <w:sz w:val="15"/>
        <w:szCs w:val="15"/>
      </w:rPr>
      <w:t xml:space="preserve">	L'essentiel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8c0912e581c24f779d1c4840d549f1ba09ab61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Kayna Kayna Pay — L'essentiel</dc:title>
  <dc:creator>Kayna Kayna Pay</dc:creator>
  <dc:description>Ce qu'il faut savoir et savoir faire pour essayer Kayna Kayna Pay.</dc:description>
  <cp:lastModifiedBy>Un-named</cp:lastModifiedBy>
  <cp:revision>1</cp:revision>
  <dcterms:created xsi:type="dcterms:W3CDTF">2026-08-20T12:12:18.562Z</dcterms:created>
  <dcterms:modified xsi:type="dcterms:W3CDTF">2026-08-20T12:12:18.562Z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