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sz w:val="2"/>
          <w:szCs w:val="2"/>
        </w:rPr>
        <w:t xml:space="preserve"/>
      </w:r>
    </w:p>
    <w:p>
      <w:pPr>
        <w:spacing w:after="340"/>
      </w:pPr>
      <w:r>
        <w:drawing>
          <wp:inline distT="0" distB="0" distL="0" distR="0">
            <wp:extent cx="8001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 cy="800100"/>
                    </a:xfrm>
                    <a:prstGeom prst="rect">
                      <a:avLst/>
                    </a:prstGeom>
                  </pic:spPr>
                </pic:pic>
              </a:graphicData>
            </a:graphic>
          </wp:inline>
        </w:drawing>
      </w:r>
    </w:p>
    <w:p>
      <w:pPr>
        <w:spacing w:after="90"/>
      </w:pPr>
      <w:r>
        <w:rPr>
          <w:rFonts w:ascii="Calibri" w:cs="Calibri" w:eastAsia="Calibri" w:hAnsi="Calibri"/>
          <w:b/>
          <w:bCs/>
          <w:color w:val="005CA9"/>
          <w:spacing w:val="60"/>
          <w:sz w:val="22"/>
          <w:szCs w:val="22"/>
        </w:rPr>
        <w:t xml:space="preserve">KAYNA KAYNA PAY</w:t>
      </w:r>
    </w:p>
    <w:p>
      <w:pPr>
        <w:spacing w:after="120"/>
      </w:pPr>
      <w:r>
        <w:rPr>
          <w:rFonts w:ascii="Cambria" w:cs="Cambria" w:eastAsia="Cambria" w:hAnsi="Cambria"/>
          <w:b/>
          <w:bCs/>
          <w:color w:val="003A70"/>
          <w:sz w:val="56"/>
          <w:szCs w:val="56"/>
        </w:rPr>
        <w:t xml:space="preserve">Guide d'utilisation</w:t>
      </w:r>
    </w:p>
    <w:p>
      <w:pPr>
        <w:spacing w:after="260"/>
      </w:pPr>
      <w:r>
        <w:rPr>
          <w:rFonts w:ascii="Cambria" w:cs="Cambria" w:eastAsia="Cambria" w:hAnsi="Cambria"/>
          <w:i/>
          <w:iCs/>
          <w:color w:val="5D7285"/>
          <w:sz w:val="26"/>
          <w:szCs w:val="26"/>
        </w:rPr>
        <w:t xml:space="preserve">Se servir de la plateforme au quotidien</w:t>
      </w:r>
    </w:p>
    <w:p>
      <w:pPr>
        <w:pBdr>
          <w:bottom w:val="single" w:color="F2A900" w:sz="14" w:space="2"/>
        </w:pBdr>
        <w:spacing w:after="400"/>
      </w:pPr>
      <w:r>
        <w:rPr>
          <w:sz w:val="2"/>
          <w:szCs w:val="2"/>
        </w:rPr>
        <w:t xml:space="preserve"/>
      </w:r>
    </w:p>
    <w:p>
      <w:pPr>
        <w:spacing w:after="500" w:line="300"/>
      </w:pPr>
      <w:r>
        <w:rPr>
          <w:rFonts w:ascii="Calibri" w:cs="Calibri" w:eastAsia="Calibri" w:hAnsi="Calibri"/>
          <w:color w:val="1B2E42"/>
          <w:sz w:val="22"/>
          <w:szCs w:val="22"/>
        </w:rPr>
        <w:t xml:space="preserve">Ce guide explique comment utiliser Kayna Kayna Pay, pour les trois publics de la plateforme : les clients sur l'application mobile, l'équipe Kayna Kayna Pay dans l'espace d'administration, et les vendeurs partenaires dans leur 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Mar>
              <w:top w:type="dxa" w:w="80"/>
              <w:left w:type="dxa" w:w="130"/>
              <w:bottom w:type="dxa" w:w="80"/>
              <w:right w:type="dxa" w:w="130"/>
            </w:tcMar>
            <w:vAlign w:val="top"/>
          </w:tcPr>
          <w:p>
            <w:pPr>
              <w:spacing w:after="0" w:line="252"/>
            </w:pPr>
            <w:r>
              <w:rPr>
                <w:rFonts w:ascii="Calibri" w:cs="Calibri" w:eastAsia="Calibri" w:hAnsi="Calibri"/>
                <w:b/>
                <w:bCs/>
                <w:color w:val="5D7285"/>
                <w:sz w:val="17"/>
                <w:szCs w:val="17"/>
              </w:rPr>
              <w:t xml:space="preserve">Public</w:t>
            </w:r>
          </w:p>
        </w:tc>
        <w:tc>
          <w:tcPr>
            <w:tcW w:type="dxa" w:w="67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Clients, équipe, partenaires</w:t>
            </w:r>
          </w:p>
        </w:tc>
      </w:tr>
      <w:tr>
        <w:tc>
          <w:tcPr>
            <w:tcW w:type="dxa" w:w="2600"/>
            <w:tcMar>
              <w:top w:type="dxa" w:w="80"/>
              <w:left w:type="dxa" w:w="130"/>
              <w:bottom w:type="dxa" w:w="80"/>
              <w:right w:type="dxa" w:w="130"/>
            </w:tcMar>
            <w:vAlign w:val="top"/>
          </w:tcPr>
          <w:p>
            <w:pPr>
              <w:spacing w:after="0" w:line="252"/>
            </w:pPr>
            <w:r>
              <w:rPr>
                <w:rFonts w:ascii="Calibri" w:cs="Calibri" w:eastAsia="Calibri" w:hAnsi="Calibri"/>
                <w:b/>
                <w:bCs/>
                <w:color w:val="5D7285"/>
                <w:sz w:val="17"/>
                <w:szCs w:val="17"/>
              </w:rPr>
              <w:t xml:space="preserve">Version</w:t>
            </w:r>
          </w:p>
        </w:tc>
        <w:tc>
          <w:tcPr>
            <w:tcW w:type="dxa" w:w="67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1.0 — août 2026</w:t>
            </w:r>
          </w:p>
        </w:tc>
      </w:tr>
      <w:tr>
        <w:tc>
          <w:tcPr>
            <w:tcW w:type="dxa" w:w="2600"/>
            <w:tcMar>
              <w:top w:type="dxa" w:w="80"/>
              <w:left w:type="dxa" w:w="130"/>
              <w:bottom w:type="dxa" w:w="80"/>
              <w:right w:type="dxa" w:w="130"/>
            </w:tcMar>
            <w:vAlign w:val="top"/>
          </w:tcPr>
          <w:p>
            <w:pPr>
              <w:spacing w:after="0" w:line="252"/>
            </w:pPr>
            <w:r>
              <w:rPr>
                <w:rFonts w:ascii="Calibri" w:cs="Calibri" w:eastAsia="Calibri" w:hAnsi="Calibri"/>
                <w:b/>
                <w:bCs/>
                <w:color w:val="5D7285"/>
                <w:sz w:val="17"/>
                <w:szCs w:val="17"/>
              </w:rPr>
              <w:t xml:space="preserve">Complément</w:t>
            </w:r>
          </w:p>
        </w:tc>
        <w:tc>
          <w:tcPr>
            <w:tcW w:type="dxa" w:w="67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Comprendre Kayna Kayna Pay · Documentation d'exploitation</w:t>
            </w:r>
          </w:p>
        </w:tc>
      </w:tr>
    </w:tbl>
    <w:p>
      <w:pPr>
        <w:spacing w:after="0" w:before="700"/>
      </w:pPr>
      <w:r>
        <w:rPr>
          <w:rFonts w:ascii="Calibri" w:cs="Calibri" w:eastAsia="Calibri" w:hAnsi="Calibri"/>
          <w:i/>
          <w:iCs/>
          <w:color w:val="5D7285"/>
          <w:sz w:val="15"/>
          <w:szCs w:val="15"/>
        </w:rPr>
        <w:t xml:space="preserve">« Kayan si djineh koy yan gandji »  —  faire petit n'empêche pas d'avancer</w:t>
      </w:r>
    </w:p>
    <w:p>
      <w:pPr>
        <w:sectPr>
          <w:pgSz w:w="11906" w:h="16838" w:orient="portrait"/>
          <w:pgMar w:top="1150" w:right="1000" w:bottom="1000" w:left="1000" w:header="708" w:footer="708" w:gutter="0"/>
          <w:pgNumType/>
          <w:docGrid w:linePitch="360"/>
        </w:sectPr>
      </w:pPr>
    </w:p>
    <w:p>
      <w:pPr>
        <w:pageBreakBefore/>
        <w:pBdr>
          <w:bottom w:val="single" w:color="005CA9" w:sz="10" w:space="6"/>
        </w:pBdr>
        <w:spacing w:after="200" w:before="0"/>
      </w:pPr>
      <w:r>
        <w:rPr>
          <w:rFonts w:ascii="Cambria" w:cs="Cambria" w:eastAsia="Cambria" w:hAnsi="Cambria"/>
          <w:b/>
          <w:bCs/>
          <w:color w:val="003A70"/>
          <w:sz w:val="30"/>
          <w:szCs w:val="30"/>
        </w:rPr>
        <w:t xml:space="preserve">Sommaire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40"/>
        <w:gridCol w:w="8720"/>
      </w:tblGrid>
      <w:tr>
        <w:tc>
          <w:tcPr>
            <w:tcW w:type="dxa" w:w="640"/>
            <w:tcMar>
              <w:top w:type="dxa" w:w="60"/>
              <w:left w:type="dxa" w:w="0"/>
              <w:bottom w:type="dxa" w:w="60"/>
              <w:right w:type="dxa" w:w="80"/>
            </w:tcMar>
          </w:tcPr>
          <w:p>
            <w:pPr>
              <w:spacing w:after="0"/>
            </w:pPr>
            <w:r>
              <w:rPr>
                <w:rFonts w:ascii="Cambria" w:cs="Cambria" w:eastAsia="Cambria" w:hAnsi="Cambria"/>
                <w:b/>
                <w:bCs/>
                <w:color w:val="005CA9"/>
                <w:sz w:val="20"/>
                <w:szCs w:val="20"/>
              </w:rPr>
              <w:t xml:space="preserve">1</w:t>
            </w:r>
          </w:p>
        </w:tc>
        <w:tc>
          <w:tcPr>
            <w:tcW w:type="dxa" w:w="8720"/>
            <w:tcMar>
              <w:top w:type="dxa" w:w="60"/>
              <w:left w:type="dxa" w:w="0"/>
              <w:bottom w:type="dxa" w:w="60"/>
              <w:right w:type="dxa" w:w="0"/>
            </w:tcMar>
          </w:tcPr>
          <w:p>
            <w:pPr>
              <w:spacing w:after="0" w:line="250"/>
            </w:pPr>
            <w:r>
              <w:rPr>
                <w:rFonts w:ascii="Calibri" w:cs="Calibri" w:eastAsia="Calibri" w:hAnsi="Calibri"/>
                <w:b/>
                <w:bCs/>
                <w:color w:val="1B2E42"/>
                <w:sz w:val="20"/>
                <w:szCs w:val="20"/>
              </w:rPr>
              <w:t xml:space="preserve">À qui s'adresse ce guide</w:t>
            </w:r>
            <w:r>
              <w:rPr>
                <w:rFonts w:ascii="Calibri" w:cs="Calibri" w:eastAsia="Calibri" w:hAnsi="Calibri"/>
                <w:color w:val="5D7285"/>
                <w:sz w:val="17"/>
                <w:szCs w:val="17"/>
              </w:rPr>
              <w:t xml:space="preserve">
Trois publics, trois parties</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40"/>
        <w:gridCol w:w="8720"/>
      </w:tblGrid>
      <w:tr>
        <w:tc>
          <w:tcPr>
            <w:tcW w:type="dxa" w:w="640"/>
            <w:tcMar>
              <w:top w:type="dxa" w:w="60"/>
              <w:left w:type="dxa" w:w="0"/>
              <w:bottom w:type="dxa" w:w="60"/>
              <w:right w:type="dxa" w:w="80"/>
            </w:tcMar>
          </w:tcPr>
          <w:p>
            <w:pPr>
              <w:spacing w:after="0"/>
            </w:pPr>
            <w:r>
              <w:rPr>
                <w:rFonts w:ascii="Cambria" w:cs="Cambria" w:eastAsia="Cambria" w:hAnsi="Cambria"/>
                <w:b/>
                <w:bCs/>
                <w:color w:val="005CA9"/>
                <w:sz w:val="20"/>
                <w:szCs w:val="20"/>
              </w:rPr>
              <w:t xml:space="preserve">2</w:t>
            </w:r>
          </w:p>
        </w:tc>
        <w:tc>
          <w:tcPr>
            <w:tcW w:type="dxa" w:w="8720"/>
            <w:tcMar>
              <w:top w:type="dxa" w:w="60"/>
              <w:left w:type="dxa" w:w="0"/>
              <w:bottom w:type="dxa" w:w="60"/>
              <w:right w:type="dxa" w:w="0"/>
            </w:tcMar>
          </w:tcPr>
          <w:p>
            <w:pPr>
              <w:spacing w:after="0" w:line="250"/>
            </w:pPr>
            <w:r>
              <w:rPr>
                <w:rFonts w:ascii="Calibri" w:cs="Calibri" w:eastAsia="Calibri" w:hAnsi="Calibri"/>
                <w:b/>
                <w:bCs/>
                <w:color w:val="1B2E42"/>
                <w:sz w:val="20"/>
                <w:szCs w:val="20"/>
              </w:rPr>
              <w:t xml:space="preserve">Le client — l'application mobile</w:t>
            </w:r>
            <w:r>
              <w:rPr>
                <w:rFonts w:ascii="Calibri" w:cs="Calibri" w:eastAsia="Calibri" w:hAnsi="Calibri"/>
                <w:color w:val="5D7285"/>
                <w:sz w:val="17"/>
                <w:szCs w:val="17"/>
              </w:rPr>
              <w:t xml:space="preserve">
Créer un compte, acheter, verser, suivre</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40"/>
        <w:gridCol w:w="8720"/>
      </w:tblGrid>
      <w:tr>
        <w:tc>
          <w:tcPr>
            <w:tcW w:type="dxa" w:w="640"/>
            <w:tcMar>
              <w:top w:type="dxa" w:w="60"/>
              <w:left w:type="dxa" w:w="0"/>
              <w:bottom w:type="dxa" w:w="60"/>
              <w:right w:type="dxa" w:w="80"/>
            </w:tcMar>
          </w:tcPr>
          <w:p>
            <w:pPr>
              <w:spacing w:after="0"/>
            </w:pPr>
            <w:r>
              <w:rPr>
                <w:rFonts w:ascii="Cambria" w:cs="Cambria" w:eastAsia="Cambria" w:hAnsi="Cambria"/>
                <w:b/>
                <w:bCs/>
                <w:color w:val="005CA9"/>
                <w:sz w:val="20"/>
                <w:szCs w:val="20"/>
              </w:rPr>
              <w:t xml:space="preserve">3</w:t>
            </w:r>
          </w:p>
        </w:tc>
        <w:tc>
          <w:tcPr>
            <w:tcW w:type="dxa" w:w="8720"/>
            <w:tcMar>
              <w:top w:type="dxa" w:w="60"/>
              <w:left w:type="dxa" w:w="0"/>
              <w:bottom w:type="dxa" w:w="60"/>
              <w:right w:type="dxa" w:w="0"/>
            </w:tcMar>
          </w:tcPr>
          <w:p>
            <w:pPr>
              <w:spacing w:after="0" w:line="250"/>
            </w:pPr>
            <w:r>
              <w:rPr>
                <w:rFonts w:ascii="Calibri" w:cs="Calibri" w:eastAsia="Calibri" w:hAnsi="Calibri"/>
                <w:b/>
                <w:bCs/>
                <w:color w:val="1B2E42"/>
                <w:sz w:val="20"/>
                <w:szCs w:val="20"/>
              </w:rPr>
              <w:t xml:space="preserve">L'équipe — l'espace d'administration</w:t>
            </w:r>
            <w:r>
              <w:rPr>
                <w:rFonts w:ascii="Calibri" w:cs="Calibri" w:eastAsia="Calibri" w:hAnsi="Calibri"/>
                <w:color w:val="5D7285"/>
                <w:sz w:val="17"/>
                <w:szCs w:val="17"/>
              </w:rPr>
              <w:t xml:space="preserve">
Valider les versements, gérer achats et catalogue</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40"/>
        <w:gridCol w:w="8720"/>
      </w:tblGrid>
      <w:tr>
        <w:tc>
          <w:tcPr>
            <w:tcW w:type="dxa" w:w="640"/>
            <w:tcMar>
              <w:top w:type="dxa" w:w="60"/>
              <w:left w:type="dxa" w:w="0"/>
              <w:bottom w:type="dxa" w:w="60"/>
              <w:right w:type="dxa" w:w="80"/>
            </w:tcMar>
          </w:tcPr>
          <w:p>
            <w:pPr>
              <w:spacing w:after="0"/>
            </w:pPr>
            <w:r>
              <w:rPr>
                <w:rFonts w:ascii="Cambria" w:cs="Cambria" w:eastAsia="Cambria" w:hAnsi="Cambria"/>
                <w:b/>
                <w:bCs/>
                <w:color w:val="005CA9"/>
                <w:sz w:val="20"/>
                <w:szCs w:val="20"/>
              </w:rPr>
              <w:t xml:space="preserve">4</w:t>
            </w:r>
          </w:p>
        </w:tc>
        <w:tc>
          <w:tcPr>
            <w:tcW w:type="dxa" w:w="8720"/>
            <w:tcMar>
              <w:top w:type="dxa" w:w="60"/>
              <w:left w:type="dxa" w:w="0"/>
              <w:bottom w:type="dxa" w:w="60"/>
              <w:right w:type="dxa" w:w="0"/>
            </w:tcMar>
          </w:tcPr>
          <w:p>
            <w:pPr>
              <w:spacing w:after="0" w:line="250"/>
            </w:pPr>
            <w:r>
              <w:rPr>
                <w:rFonts w:ascii="Calibri" w:cs="Calibri" w:eastAsia="Calibri" w:hAnsi="Calibri"/>
                <w:b/>
                <w:bCs/>
                <w:color w:val="1B2E42"/>
                <w:sz w:val="20"/>
                <w:szCs w:val="20"/>
              </w:rPr>
              <w:t xml:space="preserve">Le partenaire — l'espace vendeur</w:t>
            </w:r>
            <w:r>
              <w:rPr>
                <w:rFonts w:ascii="Calibri" w:cs="Calibri" w:eastAsia="Calibri" w:hAnsi="Calibri"/>
                <w:color w:val="5D7285"/>
                <w:sz w:val="17"/>
                <w:szCs w:val="17"/>
              </w:rPr>
              <w:t xml:space="preserve">
Suivre ses produits et ses commandes</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40"/>
        <w:gridCol w:w="8720"/>
      </w:tblGrid>
      <w:tr>
        <w:tc>
          <w:tcPr>
            <w:tcW w:type="dxa" w:w="640"/>
            <w:tcMar>
              <w:top w:type="dxa" w:w="60"/>
              <w:left w:type="dxa" w:w="0"/>
              <w:bottom w:type="dxa" w:w="60"/>
              <w:right w:type="dxa" w:w="80"/>
            </w:tcMar>
          </w:tcPr>
          <w:p>
            <w:pPr>
              <w:spacing w:after="0"/>
            </w:pPr>
            <w:r>
              <w:rPr>
                <w:rFonts w:ascii="Cambria" w:cs="Cambria" w:eastAsia="Cambria" w:hAnsi="Cambria"/>
                <w:b/>
                <w:bCs/>
                <w:color w:val="005CA9"/>
                <w:sz w:val="20"/>
                <w:szCs w:val="20"/>
              </w:rPr>
              <w:t xml:space="preserve">5</w:t>
            </w:r>
          </w:p>
        </w:tc>
        <w:tc>
          <w:tcPr>
            <w:tcW w:type="dxa" w:w="8720"/>
            <w:tcMar>
              <w:top w:type="dxa" w:w="60"/>
              <w:left w:type="dxa" w:w="0"/>
              <w:bottom w:type="dxa" w:w="60"/>
              <w:right w:type="dxa" w:w="0"/>
            </w:tcMar>
          </w:tcPr>
          <w:p>
            <w:pPr>
              <w:spacing w:after="0" w:line="250"/>
            </w:pPr>
            <w:r>
              <w:rPr>
                <w:rFonts w:ascii="Calibri" w:cs="Calibri" w:eastAsia="Calibri" w:hAnsi="Calibri"/>
                <w:b/>
                <w:bCs/>
                <w:color w:val="1B2E42"/>
                <w:sz w:val="20"/>
                <w:szCs w:val="20"/>
              </w:rPr>
              <w:t xml:space="preserve">Questions fréquentes</w:t>
            </w:r>
            <w:r>
              <w:rPr>
                <w:rFonts w:ascii="Calibri" w:cs="Calibri" w:eastAsia="Calibri" w:hAnsi="Calibri"/>
                <w:color w:val="5D7285"/>
                <w:sz w:val="17"/>
                <w:szCs w:val="17"/>
              </w:rPr>
              <w:t xml:space="preserve">
Ce que demandent les clients, et quoi répondre</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40"/>
        <w:gridCol w:w="8720"/>
      </w:tblGrid>
      <w:tr>
        <w:tc>
          <w:tcPr>
            <w:tcW w:type="dxa" w:w="640"/>
            <w:tcMar>
              <w:top w:type="dxa" w:w="60"/>
              <w:left w:type="dxa" w:w="0"/>
              <w:bottom w:type="dxa" w:w="60"/>
              <w:right w:type="dxa" w:w="80"/>
            </w:tcMar>
          </w:tcPr>
          <w:p>
            <w:pPr>
              <w:spacing w:after="0"/>
            </w:pPr>
            <w:r>
              <w:rPr>
                <w:rFonts w:ascii="Cambria" w:cs="Cambria" w:eastAsia="Cambria" w:hAnsi="Cambria"/>
                <w:b/>
                <w:bCs/>
                <w:color w:val="005CA9"/>
                <w:sz w:val="20"/>
                <w:szCs w:val="20"/>
              </w:rPr>
              <w:t xml:space="preserve">6</w:t>
            </w:r>
          </w:p>
        </w:tc>
        <w:tc>
          <w:tcPr>
            <w:tcW w:type="dxa" w:w="8720"/>
            <w:tcMar>
              <w:top w:type="dxa" w:w="60"/>
              <w:left w:type="dxa" w:w="0"/>
              <w:bottom w:type="dxa" w:w="60"/>
              <w:right w:type="dxa" w:w="0"/>
            </w:tcMar>
          </w:tcPr>
          <w:p>
            <w:pPr>
              <w:spacing w:after="0" w:line="250"/>
            </w:pPr>
            <w:r>
              <w:rPr>
                <w:rFonts w:ascii="Calibri" w:cs="Calibri" w:eastAsia="Calibri" w:hAnsi="Calibri"/>
                <w:b/>
                <w:bCs/>
                <w:color w:val="1B2E42"/>
                <w:sz w:val="20"/>
                <w:szCs w:val="20"/>
              </w:rPr>
              <w:t xml:space="preserve">Qui fait quoi</w:t>
            </w:r>
            <w:r>
              <w:rPr>
                <w:rFonts w:ascii="Calibri" w:cs="Calibri" w:eastAsia="Calibri" w:hAnsi="Calibri"/>
                <w:color w:val="5D7285"/>
                <w:sz w:val="17"/>
                <w:szCs w:val="17"/>
              </w:rPr>
              <w:t xml:space="preserve">
Tableau récapitulatif des rôles</w:t>
            </w:r>
          </w:p>
        </w:tc>
      </w:tr>
    </w:tbl>
    <w:p>
      <w:pPr>
        <w:pageBreakBefore/>
        <w:pBdr>
          <w:bottom w:val="single" w:color="005CA9" w:sz="10" w:space="6"/>
        </w:pBdr>
        <w:spacing w:after="200" w:before="0"/>
      </w:pPr>
      <w:r>
        <w:rPr>
          <w:rFonts w:ascii="Cambria" w:cs="Cambria" w:eastAsia="Cambria" w:hAnsi="Cambria"/>
          <w:b/>
          <w:bCs/>
          <w:color w:val="003A70"/>
          <w:sz w:val="30"/>
          <w:szCs w:val="30"/>
        </w:rPr>
        <w:t xml:space="preserve">1.  À qui s'adresse ce guide</w:t>
      </w:r>
    </w:p>
    <w:p>
      <w:pPr>
        <w:spacing w:after="110" w:line="264"/>
      </w:pPr>
      <w:r>
        <w:rPr>
          <w:rFonts w:ascii="Calibri" w:cs="Calibri" w:eastAsia="Calibri" w:hAnsi="Calibri"/>
          <w:color w:val="1B2E42"/>
          <w:sz w:val="20"/>
          <w:szCs w:val="20"/>
        </w:rPr>
        <w:t xml:space="preserve">Kayna Kayna Pay met en relation trois publics. Chacun voit une interface différente et n'a accès qu'à ce qui le concerne. Ce guide traite les trois séparément : allez directement à la partie qui vous concerne.</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700"/>
        <w:gridCol w:w="2160"/>
      </w:tblGrid>
      <w:tr>
        <w:trPr>
          <w:tblHeader/>
        </w:trPr>
        <w:tc>
          <w:tcPr>
            <w:tcW w:type="dxa" w:w="250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Vous êtes…</w:t>
            </w:r>
          </w:p>
        </w:tc>
        <w:tc>
          <w:tcPr>
            <w:tcW w:type="dxa" w:w="470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Vous utilisez…</w:t>
            </w:r>
          </w:p>
        </w:tc>
        <w:tc>
          <w:tcPr>
            <w:tcW w:type="dxa" w:w="216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Lisez la partie</w:t>
            </w:r>
          </w:p>
        </w:tc>
      </w:tr>
      <w:tr>
        <w:tc>
          <w:tcPr>
            <w:tcW w:type="dxa" w:w="2500"/>
            <w:tcMar>
              <w:top w:type="dxa" w:w="80"/>
              <w:left w:type="dxa" w:w="130"/>
              <w:bottom w:type="dxa" w:w="80"/>
              <w:right w:type="dxa" w:w="130"/>
            </w:tcMar>
            <w:vAlign w:val="top"/>
          </w:tcPr>
          <w:p>
            <w:pPr>
              <w:spacing w:after="0" w:line="252"/>
            </w:pPr>
            <w:r>
              <w:rPr>
                <w:rFonts w:ascii="Calibri" w:cs="Calibri" w:eastAsia="Calibri" w:hAnsi="Calibri"/>
                <w:b/>
                <w:bCs/>
                <w:color w:val="1B2E42"/>
                <w:sz w:val="17"/>
                <w:szCs w:val="17"/>
              </w:rPr>
              <w:t xml:space="preserve">Un client</w:t>
            </w:r>
          </w:p>
        </w:tc>
        <w:tc>
          <w:tcPr>
            <w:tcW w:type="dxa" w:w="470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L'application mobile, sur votre téléphone</w:t>
            </w:r>
          </w:p>
        </w:tc>
        <w:tc>
          <w:tcPr>
            <w:tcW w:type="dxa" w:w="2160"/>
            <w:tcMar>
              <w:top w:type="dxa" w:w="80"/>
              <w:left w:type="dxa" w:w="130"/>
              <w:bottom w:type="dxa" w:w="80"/>
              <w:right w:type="dxa" w:w="130"/>
            </w:tcMar>
            <w:vAlign w:val="top"/>
          </w:tcPr>
          <w:p>
            <w:pPr>
              <w:spacing w:after="0" w:line="252"/>
            </w:pPr>
            <w:r>
              <w:rPr>
                <w:rFonts w:ascii="Calibri" w:cs="Calibri" w:eastAsia="Calibri" w:hAnsi="Calibri"/>
                <w:b/>
                <w:bCs/>
                <w:color w:val="005CA9"/>
                <w:sz w:val="17"/>
                <w:szCs w:val="17"/>
              </w:rPr>
              <w:t xml:space="preserve">2</w:t>
            </w:r>
          </w:p>
        </w:tc>
      </w:tr>
      <w:tr>
        <w:tc>
          <w:tcPr>
            <w:tcW w:type="dxa" w:w="2500"/>
            <w:tcMar>
              <w:top w:type="dxa" w:w="80"/>
              <w:left w:type="dxa" w:w="130"/>
              <w:bottom w:type="dxa" w:w="80"/>
              <w:right w:type="dxa" w:w="130"/>
            </w:tcMar>
            <w:vAlign w:val="top"/>
          </w:tcPr>
          <w:p>
            <w:pPr>
              <w:spacing w:after="0" w:line="252"/>
            </w:pPr>
            <w:r>
              <w:rPr>
                <w:rFonts w:ascii="Calibri" w:cs="Calibri" w:eastAsia="Calibri" w:hAnsi="Calibri"/>
                <w:b/>
                <w:bCs/>
                <w:color w:val="1B2E42"/>
                <w:sz w:val="17"/>
                <w:szCs w:val="17"/>
              </w:rPr>
              <w:t xml:space="preserve">L'équipe Kayna Kayna Pay</w:t>
            </w:r>
          </w:p>
        </w:tc>
        <w:tc>
          <w:tcPr>
            <w:tcW w:type="dxa" w:w="470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L'espace d'administration, dans un navigateur</w:t>
            </w:r>
          </w:p>
        </w:tc>
        <w:tc>
          <w:tcPr>
            <w:tcW w:type="dxa" w:w="2160"/>
            <w:tcMar>
              <w:top w:type="dxa" w:w="80"/>
              <w:left w:type="dxa" w:w="130"/>
              <w:bottom w:type="dxa" w:w="80"/>
              <w:right w:type="dxa" w:w="130"/>
            </w:tcMar>
            <w:vAlign w:val="top"/>
          </w:tcPr>
          <w:p>
            <w:pPr>
              <w:spacing w:after="0" w:line="252"/>
            </w:pPr>
            <w:r>
              <w:rPr>
                <w:rFonts w:ascii="Calibri" w:cs="Calibri" w:eastAsia="Calibri" w:hAnsi="Calibri"/>
                <w:b/>
                <w:bCs/>
                <w:color w:val="005CA9"/>
                <w:sz w:val="17"/>
                <w:szCs w:val="17"/>
              </w:rPr>
              <w:t xml:space="preserve">3</w:t>
            </w:r>
          </w:p>
        </w:tc>
      </w:tr>
      <w:tr>
        <w:tc>
          <w:tcPr>
            <w:tcW w:type="dxa" w:w="2500"/>
            <w:tcMar>
              <w:top w:type="dxa" w:w="80"/>
              <w:left w:type="dxa" w:w="130"/>
              <w:bottom w:type="dxa" w:w="80"/>
              <w:right w:type="dxa" w:w="130"/>
            </w:tcMar>
            <w:vAlign w:val="top"/>
          </w:tcPr>
          <w:p>
            <w:pPr>
              <w:spacing w:after="0" w:line="252"/>
            </w:pPr>
            <w:r>
              <w:rPr>
                <w:rFonts w:ascii="Calibri" w:cs="Calibri" w:eastAsia="Calibri" w:hAnsi="Calibri"/>
                <w:b/>
                <w:bCs/>
                <w:color w:val="1B2E42"/>
                <w:sz w:val="17"/>
                <w:szCs w:val="17"/>
              </w:rPr>
              <w:t xml:space="preserve">Un vendeur partenaire</w:t>
            </w:r>
          </w:p>
        </w:tc>
        <w:tc>
          <w:tcPr>
            <w:tcW w:type="dxa" w:w="470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L'espace partenaire, dans un navigateur</w:t>
            </w:r>
          </w:p>
        </w:tc>
        <w:tc>
          <w:tcPr>
            <w:tcW w:type="dxa" w:w="2160"/>
            <w:tcMar>
              <w:top w:type="dxa" w:w="80"/>
              <w:left w:type="dxa" w:w="130"/>
              <w:bottom w:type="dxa" w:w="80"/>
              <w:right w:type="dxa" w:w="130"/>
            </w:tcMar>
            <w:vAlign w:val="top"/>
          </w:tcPr>
          <w:p>
            <w:pPr>
              <w:spacing w:after="0" w:line="252"/>
            </w:pPr>
            <w:r>
              <w:rPr>
                <w:rFonts w:ascii="Calibri" w:cs="Calibri" w:eastAsia="Calibri" w:hAnsi="Calibri"/>
                <w:b/>
                <w:bCs/>
                <w:color w:val="005CA9"/>
                <w:sz w:val="17"/>
                <w:szCs w:val="17"/>
              </w:rPr>
              <w:t xml:space="preserve">4</w:t>
            </w:r>
          </w:p>
        </w:tc>
      </w:tr>
    </w:tbl>
    <w:p>
      <w:pPr>
        <w:spacing w:after="22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tcW w:type="dxa" w:w="60"/>
            <w:shd w:fill="005CA9" w:val="clear"/>
            <w:tcMar>
              <w:top w:type="dxa" w:w="0"/>
              <w:left w:type="dxa" w:w="0"/>
              <w:bottom w:type="dxa" w:w="0"/>
              <w:right w:type="dxa" w:w="0"/>
            </w:tcMar>
          </w:tcPr>
          <w:p>
            <w:pPr>
              <w:spacing w:after="0"/>
            </w:pPr>
            <w:r>
              <w:rPr>
                <w:sz w:val="2"/>
                <w:szCs w:val="2"/>
              </w:rPr>
              <w:t xml:space="preserve"/>
            </w:r>
          </w:p>
        </w:tc>
        <w:tc>
          <w:tcPr>
            <w:tcW w:type="dxa" w:w="9300"/>
            <w:shd w:fill="F4F9FD" w:val="clear"/>
            <w:tcMar>
              <w:top w:type="dxa" w:w="120"/>
              <w:left w:type="dxa" w:w="180"/>
              <w:bottom w:type="dxa" w:w="120"/>
              <w:right w:type="dxa" w:w="180"/>
            </w:tcMar>
          </w:tcPr>
          <w:p>
            <w:pPr>
              <w:spacing w:after="70"/>
            </w:pPr>
            <w:r>
              <w:rPr>
                <w:rFonts w:ascii="Calibri" w:cs="Calibri" w:eastAsia="Calibri" w:hAnsi="Calibri"/>
                <w:b/>
                <w:bCs/>
                <w:color w:val="005CA9"/>
                <w:spacing w:val="20"/>
                <w:sz w:val="15"/>
                <w:szCs w:val="15"/>
              </w:rPr>
              <w:t xml:space="preserve">LE PRINCIPE, EN UNE PHRASE</w:t>
            </w:r>
          </w:p>
          <w:p>
            <w:pPr>
              <w:spacing w:after="60" w:line="264"/>
            </w:pPr>
            <w:r>
              <w:rPr>
                <w:rFonts w:ascii="Calibri" w:cs="Calibri" w:eastAsia="Calibri" w:hAnsi="Calibri"/>
                <w:color w:val="1B2E42"/>
                <w:sz w:val="20"/>
                <w:szCs w:val="20"/>
              </w:rPr>
              <w:t xml:space="preserve">Le client verse petit à petit sur le compte de la plateforme. L'argent y reste jusqu'à la livraison. Une fois le montant total atteint, le produit est remis et le vendeur est payé.</w:t>
            </w:r>
          </w:p>
          <w:p>
            <w:pPr>
              <w:spacing w:after="0" w:line="264"/>
            </w:pPr>
            <w:r>
              <w:rPr>
                <w:rFonts w:ascii="Calibri" w:cs="Calibri" w:eastAsia="Calibri" w:hAnsi="Calibri"/>
                <w:color w:val="1B2E42"/>
                <w:sz w:val="20"/>
                <w:szCs w:val="20"/>
              </w:rPr>
              <w:t xml:space="preserve">C'est ce qui protège tout le monde : le client est sûr de recevoir, le vendeur est sûr d'être payé.</w:t>
            </w:r>
          </w:p>
        </w:tc>
      </w:tr>
    </w:tbl>
    <w:p>
      <w:pPr>
        <w:pageBreakBefore/>
        <w:pBdr>
          <w:bottom w:val="single" w:color="005CA9" w:sz="10" w:space="6"/>
        </w:pBdr>
        <w:spacing w:after="200" w:before="0"/>
      </w:pPr>
      <w:r>
        <w:rPr>
          <w:rFonts w:ascii="Cambria" w:cs="Cambria" w:eastAsia="Cambria" w:hAnsi="Cambria"/>
          <w:b/>
          <w:bCs/>
          <w:color w:val="003A70"/>
          <w:sz w:val="30"/>
          <w:szCs w:val="30"/>
        </w:rPr>
        <w:t xml:space="preserve">2.  Le client — l'application mobile</w:t>
      </w:r>
    </w:p>
    <w:p>
      <w:pPr>
        <w:spacing w:after="110" w:line="264"/>
      </w:pPr>
      <w:r>
        <w:rPr>
          <w:rFonts w:ascii="Calibri" w:cs="Calibri" w:eastAsia="Calibri" w:hAnsi="Calibri"/>
          <w:color w:val="1B2E42"/>
          <w:sz w:val="20"/>
          <w:szCs w:val="20"/>
        </w:rPr>
        <w:t xml:space="preserve">L'application se télécharge sur le téléphone. Tout s'y fait : choisir un produit, verser, suivre son avancement, recevoir son achat.</w:t>
      </w:r>
    </w:p>
    <w:p>
      <w:pPr>
        <w:spacing w:after="110" w:before="260"/>
      </w:pPr>
      <w:r>
        <w:rPr>
          <w:rFonts w:ascii="Cambria" w:cs="Cambria" w:eastAsia="Cambria" w:hAnsi="Cambria"/>
          <w:b/>
          <w:bCs/>
          <w:color w:val="003A70"/>
          <w:sz w:val="24"/>
          <w:szCs w:val="24"/>
        </w:rPr>
        <w:t xml:space="preserve">2.1  Créer son compte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tcMar>
              <w:top w:type="dxa" w:w="40"/>
              <w:left w:type="dxa" w:w="0"/>
              <w:bottom w:type="dxa" w:w="40"/>
              <w:right w:type="dxa" w:w="100"/>
            </w:tcMar>
          </w:tcPr>
          <w:p>
            <w:pPr>
              <w:spacing w:after="0"/>
              <w:jc w:val="center"/>
            </w:pPr>
            <w:r>
              <w:rPr>
                <w:rFonts w:ascii="Calibri" w:cs="Calibri" w:eastAsia="Calibri" w:hAnsi="Calibri"/>
                <w:b/>
                <w:bCs/>
                <w:color w:val="005CA9"/>
                <w:sz w:val="20"/>
                <w:szCs w:val="20"/>
              </w:rPr>
              <w:t xml:space="preserve">1</w:t>
            </w:r>
          </w:p>
        </w:tc>
        <w:tc>
          <w:tcPr>
            <w:tcW w:type="dxa" w:w="8840"/>
            <w:tcMar>
              <w:top w:type="dxa" w:w="40"/>
              <w:left w:type="dxa" w:w="0"/>
              <w:bottom w:type="dxa" w:w="90"/>
              <w:right w:type="dxa" w:w="0"/>
            </w:tcMar>
          </w:tcPr>
          <w:p>
            <w:pPr>
              <w:spacing w:after="0" w:line="264"/>
            </w:pPr>
            <w:r>
              <w:rPr>
                <w:rFonts w:ascii="Calibri" w:cs="Calibri" w:eastAsia="Calibri" w:hAnsi="Calibri"/>
                <w:color w:val="1B2E42"/>
                <w:sz w:val="20"/>
                <w:szCs w:val="20"/>
              </w:rPr>
              <w:t xml:space="preserve">Ouvrir l'application, appuyer sur « Créer mon compte ».</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tcMar>
              <w:top w:type="dxa" w:w="40"/>
              <w:left w:type="dxa" w:w="0"/>
              <w:bottom w:type="dxa" w:w="40"/>
              <w:right w:type="dxa" w:w="100"/>
            </w:tcMar>
          </w:tcPr>
          <w:p>
            <w:pPr>
              <w:spacing w:after="0"/>
              <w:jc w:val="center"/>
            </w:pPr>
            <w:r>
              <w:rPr>
                <w:rFonts w:ascii="Calibri" w:cs="Calibri" w:eastAsia="Calibri" w:hAnsi="Calibri"/>
                <w:b/>
                <w:bCs/>
                <w:color w:val="005CA9"/>
                <w:sz w:val="20"/>
                <w:szCs w:val="20"/>
              </w:rPr>
              <w:t xml:space="preserve">2</w:t>
            </w:r>
          </w:p>
        </w:tc>
        <w:tc>
          <w:tcPr>
            <w:tcW w:type="dxa" w:w="8840"/>
            <w:tcMar>
              <w:top w:type="dxa" w:w="40"/>
              <w:left w:type="dxa" w:w="0"/>
              <w:bottom w:type="dxa" w:w="90"/>
              <w:right w:type="dxa" w:w="0"/>
            </w:tcMar>
          </w:tcPr>
          <w:p>
            <w:pPr>
              <w:spacing w:after="0" w:line="264"/>
            </w:pPr>
            <w:r>
              <w:rPr>
                <w:rFonts w:ascii="Calibri" w:cs="Calibri" w:eastAsia="Calibri" w:hAnsi="Calibri"/>
                <w:color w:val="1B2E42"/>
                <w:sz w:val="20"/>
                <w:szCs w:val="20"/>
              </w:rPr>
              <w:t xml:space="preserve">Saisir son </w:t>
            </w:r>
            <w:r>
              <w:rPr>
                <w:rFonts w:ascii="Calibri" w:cs="Calibri" w:eastAsia="Calibri" w:hAnsi="Calibri"/>
                <w:b/>
                <w:bCs/>
                <w:color w:val="1B2E42"/>
                <w:sz w:val="20"/>
                <w:szCs w:val="20"/>
              </w:rPr>
              <w:t xml:space="preserve">numéro de téléphone</w:t>
            </w:r>
            <w:r>
              <w:rPr>
                <w:rFonts w:ascii="Calibri" w:cs="Calibri" w:eastAsia="Calibri" w:hAnsi="Calibri"/>
                <w:color w:val="1B2E42"/>
                <w:sz w:val="20"/>
                <w:szCs w:val="20"/>
              </w:rPr>
              <w:t xml:space="preserve"> — c'est l'identifiant du compte, celui-là même qui servira au mobile money. Puis son nom complet et un mot de passe d'au moins 6 caractères.</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tcMar>
              <w:top w:type="dxa" w:w="40"/>
              <w:left w:type="dxa" w:w="0"/>
              <w:bottom w:type="dxa" w:w="40"/>
              <w:right w:type="dxa" w:w="100"/>
            </w:tcMar>
          </w:tcPr>
          <w:p>
            <w:pPr>
              <w:spacing w:after="0"/>
              <w:jc w:val="center"/>
            </w:pPr>
            <w:r>
              <w:rPr>
                <w:rFonts w:ascii="Calibri" w:cs="Calibri" w:eastAsia="Calibri" w:hAnsi="Calibri"/>
                <w:b/>
                <w:bCs/>
                <w:color w:val="005CA9"/>
                <w:sz w:val="20"/>
                <w:szCs w:val="20"/>
              </w:rPr>
              <w:t xml:space="preserve">3</w:t>
            </w:r>
          </w:p>
        </w:tc>
        <w:tc>
          <w:tcPr>
            <w:tcW w:type="dxa" w:w="8840"/>
            <w:tcMar>
              <w:top w:type="dxa" w:w="40"/>
              <w:left w:type="dxa" w:w="0"/>
              <w:bottom w:type="dxa" w:w="90"/>
              <w:right w:type="dxa" w:w="0"/>
            </w:tcMar>
          </w:tcPr>
          <w:p>
            <w:pPr>
              <w:spacing w:after="0" w:line="264"/>
            </w:pPr>
            <w:r>
              <w:rPr>
                <w:rFonts w:ascii="Calibri" w:cs="Calibri" w:eastAsia="Calibri" w:hAnsi="Calibri"/>
                <w:color w:val="1B2E42"/>
                <w:sz w:val="20"/>
                <w:szCs w:val="20"/>
              </w:rPr>
              <w:t xml:space="preserve">Cocher l'acceptation des </w:t>
            </w:r>
            <w:r>
              <w:rPr>
                <w:rFonts w:ascii="Calibri" w:cs="Calibri" w:eastAsia="Calibri" w:hAnsi="Calibri"/>
                <w:b/>
                <w:bCs/>
                <w:color w:val="1B2E42"/>
                <w:sz w:val="20"/>
                <w:szCs w:val="20"/>
              </w:rPr>
              <w:t xml:space="preserve">conditions générales d'utilisation</w:t>
            </w:r>
            <w:r>
              <w:rPr>
                <w:rFonts w:ascii="Calibri" w:cs="Calibri" w:eastAsia="Calibri" w:hAnsi="Calibri"/>
                <w:color w:val="1B2E42"/>
                <w:sz w:val="20"/>
                <w:szCs w:val="20"/>
              </w:rPr>
              <w:t xml:space="preserve"> et de la politique de confidentialité. Les deux textes sont consultables d'un appui. Sans cette case, l'inscription est refusée.</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tcMar>
              <w:top w:type="dxa" w:w="40"/>
              <w:left w:type="dxa" w:w="0"/>
              <w:bottom w:type="dxa" w:w="40"/>
              <w:right w:type="dxa" w:w="100"/>
            </w:tcMar>
          </w:tcPr>
          <w:p>
            <w:pPr>
              <w:spacing w:after="0"/>
              <w:jc w:val="center"/>
            </w:pPr>
            <w:r>
              <w:rPr>
                <w:rFonts w:ascii="Calibri" w:cs="Calibri" w:eastAsia="Calibri" w:hAnsi="Calibri"/>
                <w:b/>
                <w:bCs/>
                <w:color w:val="005CA9"/>
                <w:sz w:val="20"/>
                <w:szCs w:val="20"/>
              </w:rPr>
              <w:t xml:space="preserve">4</w:t>
            </w:r>
          </w:p>
        </w:tc>
        <w:tc>
          <w:tcPr>
            <w:tcW w:type="dxa" w:w="8840"/>
            <w:tcMar>
              <w:top w:type="dxa" w:w="40"/>
              <w:left w:type="dxa" w:w="0"/>
              <w:bottom w:type="dxa" w:w="90"/>
              <w:right w:type="dxa" w:w="0"/>
            </w:tcMar>
          </w:tcPr>
          <w:p>
            <w:pPr>
              <w:spacing w:after="0" w:line="264"/>
            </w:pPr>
            <w:r>
              <w:rPr>
                <w:rFonts w:ascii="Calibri" w:cs="Calibri" w:eastAsia="Calibri" w:hAnsi="Calibri"/>
                <w:color w:val="1B2E42"/>
                <w:sz w:val="20"/>
                <w:szCs w:val="20"/>
              </w:rPr>
              <w:t xml:space="preserve">Un code à 6 chiffres arrive par SMS. Le saisir dans l'application.</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tcMar>
              <w:top w:type="dxa" w:w="40"/>
              <w:left w:type="dxa" w:w="0"/>
              <w:bottom w:type="dxa" w:w="40"/>
              <w:right w:type="dxa" w:w="100"/>
            </w:tcMar>
          </w:tcPr>
          <w:p>
            <w:pPr>
              <w:spacing w:after="0"/>
              <w:jc w:val="center"/>
            </w:pPr>
            <w:r>
              <w:rPr>
                <w:rFonts w:ascii="Calibri" w:cs="Calibri" w:eastAsia="Calibri" w:hAnsi="Calibri"/>
                <w:b/>
                <w:bCs/>
                <w:color w:val="005CA9"/>
                <w:sz w:val="20"/>
                <w:szCs w:val="20"/>
              </w:rPr>
              <w:t xml:space="preserve">5</w:t>
            </w:r>
          </w:p>
        </w:tc>
        <w:tc>
          <w:tcPr>
            <w:tcW w:type="dxa" w:w="8840"/>
            <w:tcMar>
              <w:top w:type="dxa" w:w="40"/>
              <w:left w:type="dxa" w:w="0"/>
              <w:bottom w:type="dxa" w:w="40"/>
              <w:right w:type="dxa" w:w="0"/>
            </w:tcMar>
          </w:tcPr>
          <w:p>
            <w:pPr>
              <w:spacing w:after="0" w:line="264"/>
            </w:pPr>
            <w:r>
              <w:rPr>
                <w:rFonts w:ascii="Calibri" w:cs="Calibri" w:eastAsia="Calibri" w:hAnsi="Calibri"/>
                <w:color w:val="1B2E42"/>
                <w:sz w:val="20"/>
                <w:szCs w:val="20"/>
              </w:rPr>
              <w:t xml:space="preserve">Le compte est actif. Le client arrive sur l'accueil.</w:t>
            </w:r>
          </w:p>
        </w:tc>
      </w:tr>
    </w:tbl>
    <w:p>
      <w:pPr>
        <w:spacing w:after="8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tcW w:type="dxa" w:w="60"/>
            <w:shd w:fill="F2A900" w:val="clear"/>
            <w:tcMar>
              <w:top w:type="dxa" w:w="0"/>
              <w:left w:type="dxa" w:w="0"/>
              <w:bottom w:type="dxa" w:w="0"/>
              <w:right w:type="dxa" w:w="0"/>
            </w:tcMar>
          </w:tcPr>
          <w:p>
            <w:pPr>
              <w:spacing w:after="0"/>
            </w:pPr>
            <w:r>
              <w:rPr>
                <w:sz w:val="2"/>
                <w:szCs w:val="2"/>
              </w:rPr>
              <w:t xml:space="preserve"/>
            </w:r>
          </w:p>
        </w:tc>
        <w:tc>
          <w:tcPr>
            <w:tcW w:type="dxa" w:w="9300"/>
            <w:shd w:fill="FFF6E2" w:val="clear"/>
            <w:tcMar>
              <w:top w:type="dxa" w:w="120"/>
              <w:left w:type="dxa" w:w="180"/>
              <w:bottom w:type="dxa" w:w="120"/>
              <w:right w:type="dxa" w:w="180"/>
            </w:tcMar>
          </w:tcPr>
          <w:p>
            <w:pPr>
              <w:spacing w:after="70"/>
            </w:pPr>
            <w:r>
              <w:rPr>
                <w:rFonts w:ascii="Calibri" w:cs="Calibri" w:eastAsia="Calibri" w:hAnsi="Calibri"/>
                <w:b/>
                <w:bCs/>
                <w:color w:val="8A6100"/>
                <w:spacing w:val="20"/>
                <w:sz w:val="15"/>
                <w:szCs w:val="15"/>
              </w:rPr>
              <w:t xml:space="preserve">SI LE CODE N'ARRIVE PAS</w:t>
            </w:r>
          </w:p>
          <w:p>
            <w:pPr>
              <w:spacing w:after="0" w:line="264"/>
            </w:pPr>
            <w:r>
              <w:rPr>
                <w:rFonts w:ascii="Calibri" w:cs="Calibri" w:eastAsia="Calibri" w:hAnsi="Calibri"/>
                <w:color w:val="1B2E42"/>
                <w:sz w:val="20"/>
                <w:szCs w:val="20"/>
              </w:rPr>
              <w:t xml:space="preserve">Vérifier que le numéro saisi est le bon. Le code vaut 10 minutes et ne sert qu'une fois : passé ce délai, il faut recommencer l'inscription pour en recevoir un nouveau.</w:t>
            </w:r>
          </w:p>
        </w:tc>
      </w:tr>
    </w:tbl>
    <w:p>
      <w:pPr>
        <w:spacing w:after="110" w:before="260"/>
      </w:pPr>
      <w:r>
        <w:rPr>
          <w:rFonts w:ascii="Cambria" w:cs="Cambria" w:eastAsia="Cambria" w:hAnsi="Cambria"/>
          <w:b/>
          <w:bCs/>
          <w:color w:val="003A70"/>
          <w:sz w:val="24"/>
          <w:szCs w:val="24"/>
        </w:rPr>
        <w:t xml:space="preserve">2.2  Trouver un produit</w:t>
      </w:r>
    </w:p>
    <w:p>
      <w:pPr>
        <w:spacing w:after="110" w:line="264"/>
      </w:pPr>
      <w:r>
        <w:rPr>
          <w:rFonts w:ascii="Calibri" w:cs="Calibri" w:eastAsia="Calibri" w:hAnsi="Calibri"/>
          <w:color w:val="1B2E42"/>
          <w:sz w:val="20"/>
          <w:szCs w:val="20"/>
        </w:rPr>
        <w:t xml:space="preserve">Trois chemins mènent au catalogue depuis l'accueil :</w:t>
      </w:r>
    </w:p>
    <w:p>
      <w:pPr>
        <w:pStyle w:val="ListParagraph"/>
        <w:numPr>
          <w:ilvl w:val="0"/>
          <w:numId w:val="1"/>
        </w:numPr>
        <w:spacing w:after="60" w:line="264"/>
      </w:pPr>
      <w:r>
        <w:rPr>
          <w:rFonts w:ascii="Calibri" w:cs="Calibri" w:eastAsia="Calibri" w:hAnsi="Calibri"/>
          <w:b/>
          <w:bCs/>
          <w:color w:val="1B2E42"/>
          <w:sz w:val="20"/>
          <w:szCs w:val="20"/>
        </w:rPr>
        <w:t xml:space="preserve">La barre de recherche</w:t>
      </w:r>
      <w:r>
        <w:rPr>
          <w:rFonts w:ascii="Calibri" w:cs="Calibri" w:eastAsia="Calibri" w:hAnsi="Calibri"/>
          <w:color w:val="1B2E42"/>
          <w:sz w:val="20"/>
          <w:szCs w:val="20"/>
        </w:rPr>
        <w:t xml:space="preserve"> — par mot-clé : « moto », « téléphone », « réfrigérateur ».</w:t>
      </w:r>
    </w:p>
    <w:p>
      <w:pPr>
        <w:pStyle w:val="ListParagraph"/>
        <w:numPr>
          <w:ilvl w:val="0"/>
          <w:numId w:val="1"/>
        </w:numPr>
        <w:spacing w:after="60" w:line="264"/>
      </w:pPr>
      <w:r>
        <w:rPr>
          <w:rFonts w:ascii="Calibri" w:cs="Calibri" w:eastAsia="Calibri" w:hAnsi="Calibri"/>
          <w:b/>
          <w:bCs/>
          <w:color w:val="1B2E42"/>
          <w:sz w:val="20"/>
          <w:szCs w:val="20"/>
        </w:rPr>
        <w:t xml:space="preserve">Les catégories</w:t>
      </w:r>
      <w:r>
        <w:rPr>
          <w:rFonts w:ascii="Calibri" w:cs="Calibri" w:eastAsia="Calibri" w:hAnsi="Calibri"/>
          <w:color w:val="1B2E42"/>
          <w:sz w:val="20"/>
          <w:szCs w:val="20"/>
        </w:rPr>
        <w:t xml:space="preserve"> — téléphonie, informatique, motos et véhicules, maison et cuisine, billets et transport, assurances.</w:t>
      </w:r>
    </w:p>
    <w:p>
      <w:pPr>
        <w:pStyle w:val="ListParagraph"/>
        <w:numPr>
          <w:ilvl w:val="0"/>
          <w:numId w:val="1"/>
        </w:numPr>
        <w:spacing w:after="60" w:line="264"/>
      </w:pPr>
      <w:r>
        <w:rPr>
          <w:rFonts w:ascii="Calibri" w:cs="Calibri" w:eastAsia="Calibri" w:hAnsi="Calibri"/>
          <w:b/>
          <w:bCs/>
          <w:color w:val="1B2E42"/>
          <w:sz w:val="20"/>
          <w:szCs w:val="20"/>
        </w:rPr>
        <w:t xml:space="preserve">Les produits mis en avant</w:t>
      </w:r>
      <w:r>
        <w:rPr>
          <w:rFonts w:ascii="Calibri" w:cs="Calibri" w:eastAsia="Calibri" w:hAnsi="Calibri"/>
          <w:color w:val="1B2E42"/>
          <w:sz w:val="20"/>
          <w:szCs w:val="20"/>
        </w:rPr>
        <w:t xml:space="preserve"> — une sélection présentée sur l'accueil.</w:t>
      </w:r>
    </w:p>
    <w:p>
      <w:pPr>
        <w:spacing w:after="60"/>
      </w:pPr>
      <w:r>
        <w:rPr>
          <w:sz w:val="2"/>
          <w:szCs w:val="2"/>
        </w:rPr>
        <w:t xml:space="preserve"/>
      </w:r>
    </w:p>
    <w:p>
      <w:pPr>
        <w:spacing w:after="110" w:line="264"/>
      </w:pPr>
      <w:r>
        <w:rPr>
          <w:rFonts w:ascii="Calibri" w:cs="Calibri" w:eastAsia="Calibri" w:hAnsi="Calibri"/>
          <w:color w:val="1B2E42"/>
          <w:sz w:val="20"/>
          <w:szCs w:val="20"/>
        </w:rPr>
        <w:t xml:space="preserve">La fiche d'un produit affiche ses photos, sa description, le nom du vendeur, les modalités de remise et le prix. Ce prix est celui que paiera le client, commission comprise : il n'y a aucun frais caché.</w:t>
      </w:r>
    </w:p>
    <w:p>
      <w:pPr>
        <w:spacing w:after="80" w:before="190"/>
      </w:pPr>
      <w:r>
        <w:rPr>
          <w:rFonts w:ascii="Calibri" w:cs="Calibri" w:eastAsia="Calibri" w:hAnsi="Calibri"/>
          <w:b/>
          <w:bCs/>
          <w:color w:val="1B2E42"/>
          <w:sz w:val="21"/>
          <w:szCs w:val="21"/>
        </w:rPr>
        <w:t xml:space="preserve">Le simulateur de rythme</w:t>
      </w:r>
    </w:p>
    <w:p>
      <w:pPr>
        <w:spacing w:after="110" w:line="264"/>
      </w:pPr>
      <w:r>
        <w:rPr>
          <w:rFonts w:ascii="Calibri" w:cs="Calibri" w:eastAsia="Calibri" w:hAnsi="Calibri"/>
          <w:color w:val="1B2E42"/>
          <w:sz w:val="20"/>
          <w:szCs w:val="20"/>
        </w:rPr>
        <w:t xml:space="preserve">Sur chaque fiche, le client saisit ce qu'il pense pouvoir verser par jour, et l'application lui répond immédiatement : « à 2 000 F par jour, vous terminez en 336 jours ». Cela l'aide à choisir un produit à sa portée avant de s'engager.</w:t>
      </w:r>
    </w:p>
    <w:p>
      <w:pPr>
        <w:spacing w:after="110" w:before="260"/>
      </w:pPr>
      <w:r>
        <w:rPr>
          <w:rFonts w:ascii="Cambria" w:cs="Cambria" w:eastAsia="Cambria" w:hAnsi="Cambria"/>
          <w:b/>
          <w:bCs/>
          <w:color w:val="003A70"/>
          <w:sz w:val="24"/>
          <w:szCs w:val="24"/>
        </w:rPr>
        <w:t xml:space="preserve">2.3  Démarrer un achat</w:t>
      </w:r>
    </w:p>
    <w:p>
      <w:pPr>
        <w:spacing w:after="110" w:line="264"/>
      </w:pPr>
      <w:r>
        <w:rPr>
          <w:rFonts w:ascii="Calibri" w:cs="Calibri" w:eastAsia="Calibri" w:hAnsi="Calibri"/>
          <w:color w:val="1B2E42"/>
          <w:sz w:val="20"/>
          <w:szCs w:val="20"/>
        </w:rPr>
        <w:t xml:space="preserve">Un appui sur « Commencer à payer » ouvre un portefeuille dédié à ce produit, à 0 F. Rien n'est prélevé à cet instant : c'est simplement un objectif qui s'ouvre.</w:t>
      </w:r>
    </w:p>
    <w:p>
      <w:pPr>
        <w:spacing w:after="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tcW w:type="dxa" w:w="60"/>
            <w:shd w:fill="17662F" w:val="clear"/>
            <w:tcMar>
              <w:top w:type="dxa" w:w="0"/>
              <w:left w:type="dxa" w:w="0"/>
              <w:bottom w:type="dxa" w:w="0"/>
              <w:right w:type="dxa" w:w="0"/>
            </w:tcMar>
          </w:tcPr>
          <w:p>
            <w:pPr>
              <w:spacing w:after="0"/>
            </w:pPr>
            <w:r>
              <w:rPr>
                <w:sz w:val="2"/>
                <w:szCs w:val="2"/>
              </w:rPr>
              <w:t xml:space="preserve"/>
            </w:r>
          </w:p>
        </w:tc>
        <w:tc>
          <w:tcPr>
            <w:tcW w:type="dxa" w:w="9300"/>
            <w:shd w:fill="E6F4EA" w:val="clear"/>
            <w:tcMar>
              <w:top w:type="dxa" w:w="120"/>
              <w:left w:type="dxa" w:w="180"/>
              <w:bottom w:type="dxa" w:w="120"/>
              <w:right w:type="dxa" w:w="180"/>
            </w:tcMar>
          </w:tcPr>
          <w:p>
            <w:pPr>
              <w:spacing w:after="70"/>
            </w:pPr>
            <w:r>
              <w:rPr>
                <w:rFonts w:ascii="Calibri" w:cs="Calibri" w:eastAsia="Calibri" w:hAnsi="Calibri"/>
                <w:b/>
                <w:bCs/>
                <w:color w:val="17662F"/>
                <w:spacing w:val="20"/>
                <w:sz w:val="15"/>
                <w:szCs w:val="15"/>
              </w:rPr>
              <w:t xml:space="preserve">DEUX GARANTIES DÈS L'OUVERTURE</w:t>
            </w:r>
          </w:p>
          <w:p>
            <w:pPr>
              <w:pStyle w:val="ListParagraph"/>
              <w:numPr>
                <w:ilvl w:val="0"/>
                <w:numId w:val="1"/>
              </w:numPr>
              <w:spacing w:after="40" w:line="264"/>
            </w:pPr>
            <w:r>
              <w:rPr>
                <w:rFonts w:ascii="Calibri" w:cs="Calibri" w:eastAsia="Calibri" w:hAnsi="Calibri"/>
                <w:b/>
                <w:bCs/>
                <w:color w:val="1B2E42"/>
                <w:sz w:val="20"/>
                <w:szCs w:val="20"/>
              </w:rPr>
              <w:t xml:space="preserve">Le prix est figé.</w:t>
            </w:r>
            <w:r>
              <w:rPr>
                <w:rFonts w:ascii="Calibri" w:cs="Calibri" w:eastAsia="Calibri" w:hAnsi="Calibri"/>
                <w:color w:val="1B2E42"/>
                <w:sz w:val="20"/>
                <w:szCs w:val="20"/>
              </w:rPr>
              <w:t xml:space="preserve"> Même si le vendeur augmente son prix demain, l'achat en cours conserve le prix du jour de son ouverture, jusqu'à son terme.</w:t>
            </w:r>
          </w:p>
          <w:p>
            <w:pPr>
              <w:pStyle w:val="ListParagraph"/>
              <w:numPr>
                <w:ilvl w:val="0"/>
                <w:numId w:val="1"/>
              </w:numPr>
              <w:spacing w:after="0" w:line="264"/>
            </w:pPr>
            <w:r>
              <w:rPr>
                <w:rFonts w:ascii="Calibri" w:cs="Calibri" w:eastAsia="Calibri" w:hAnsi="Calibri"/>
                <w:b/>
                <w:bCs/>
                <w:color w:val="1B2E42"/>
                <w:sz w:val="20"/>
                <w:szCs w:val="20"/>
              </w:rPr>
              <w:t xml:space="preserve">Aucun engagement.</w:t>
            </w:r>
            <w:r>
              <w:rPr>
                <w:rFonts w:ascii="Calibri" w:cs="Calibri" w:eastAsia="Calibri" w:hAnsi="Calibri"/>
                <w:color w:val="1B2E42"/>
                <w:sz w:val="20"/>
                <w:szCs w:val="20"/>
              </w:rPr>
              <w:t xml:space="preserve"> Ni montant ni fréquence imposés. Le client verse quand il veut, ce qu'il veut, dès 100 F.</w:t>
            </w:r>
          </w:p>
        </w:tc>
      </w:tr>
    </w:tbl>
    <w:p>
      <w:pPr>
        <w:spacing w:after="140"/>
      </w:pPr>
      <w:r>
        <w:rPr>
          <w:sz w:val="2"/>
          <w:szCs w:val="2"/>
        </w:rPr>
        <w:t xml:space="preserve"/>
      </w:r>
    </w:p>
    <w:p>
      <w:pPr>
        <w:spacing w:after="110" w:line="264"/>
      </w:pPr>
      <w:r>
        <w:rPr>
          <w:rFonts w:ascii="Calibri" w:cs="Calibri" w:eastAsia="Calibri" w:hAnsi="Calibri"/>
          <w:color w:val="1B2E42"/>
          <w:sz w:val="20"/>
          <w:szCs w:val="20"/>
        </w:rPr>
        <w:t xml:space="preserve">Un client peut mener plusieurs achats en parallèle. Chacun a son propre portefeuille : l'argent d'un achat n'est jamais mélangé à celui d'un autre.</w:t>
      </w:r>
    </w:p>
    <w:p>
      <w:pPr>
        <w:spacing w:after="110" w:before="260"/>
      </w:pPr>
      <w:r>
        <w:rPr>
          <w:rFonts w:ascii="Cambria" w:cs="Cambria" w:eastAsia="Cambria" w:hAnsi="Cambria"/>
          <w:b/>
          <w:bCs/>
          <w:color w:val="003A70"/>
          <w:sz w:val="24"/>
          <w:szCs w:val="24"/>
        </w:rPr>
        <w:t xml:space="preserve">2.4  Faire un versement</w:t>
      </w:r>
    </w:p>
    <w:p>
      <w:pPr>
        <w:spacing w:after="110" w:line="264"/>
      </w:pPr>
      <w:r>
        <w:rPr>
          <w:rFonts w:ascii="Calibri" w:cs="Calibri" w:eastAsia="Calibri" w:hAnsi="Calibri"/>
          <w:color w:val="1B2E42"/>
          <w:sz w:val="20"/>
          <w:szCs w:val="20"/>
        </w:rPr>
        <w:t xml:space="preserve">C'est l'opération la plus fréquente. Elle se déroule en trois écrans.</w:t>
      </w:r>
    </w:p>
    <w:p>
      <w:pPr>
        <w:spacing w:after="80" w:before="190"/>
      </w:pPr>
      <w:r>
        <w:rPr>
          <w:rFonts w:ascii="Calibri" w:cs="Calibri" w:eastAsia="Calibri" w:hAnsi="Calibri"/>
          <w:b/>
          <w:bCs/>
          <w:color w:val="1B2E42"/>
          <w:sz w:val="21"/>
          <w:szCs w:val="21"/>
        </w:rPr>
        <w:t xml:space="preserve">Écran 1 — le montant</w:t>
      </w:r>
    </w:p>
    <w:p>
      <w:pPr>
        <w:spacing w:after="110" w:line="264"/>
      </w:pPr>
      <w:r>
        <w:rPr>
          <w:rFonts w:ascii="Calibri" w:cs="Calibri" w:eastAsia="Calibri" w:hAnsi="Calibri"/>
          <w:color w:val="1B2E42"/>
          <w:sz w:val="20"/>
          <w:szCs w:val="20"/>
        </w:rPr>
        <w:t xml:space="preserve">Le client saisit ce qu'il veut verser, ou touche un montant suggéré (100 F, 500 F, 1 000 F, 2 500 F, 5 000 F, 10 000 F). Puis il choisit son opérateur : NITA, Amana ou Wave.</w:t>
      </w:r>
    </w:p>
    <w:p>
      <w:pPr>
        <w:spacing w:after="80" w:before="190"/>
      </w:pPr>
      <w:r>
        <w:rPr>
          <w:rFonts w:ascii="Calibri" w:cs="Calibri" w:eastAsia="Calibri" w:hAnsi="Calibri"/>
          <w:b/>
          <w:bCs/>
          <w:color w:val="1B2E42"/>
          <w:sz w:val="21"/>
          <w:szCs w:val="21"/>
        </w:rPr>
        <w:t xml:space="preserve">Écran 2 — les instructions de dépôt</w:t>
      </w:r>
    </w:p>
    <w:p>
      <w:pPr>
        <w:spacing w:after="110" w:line="264"/>
      </w:pPr>
      <w:r>
        <w:rPr>
          <w:rFonts w:ascii="Calibri" w:cs="Calibri" w:eastAsia="Calibri" w:hAnsi="Calibri"/>
          <w:color w:val="1B2E42"/>
          <w:sz w:val="20"/>
          <w:szCs w:val="20"/>
        </w:rPr>
        <w:t xml:space="preserve">L'application affiche alors trois informations, à utiliser dans son application mobile money :</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Information</w:t>
            </w:r>
          </w:p>
        </w:tc>
        <w:tc>
          <w:tcPr>
            <w:tcW w:type="dxa" w:w="686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À quoi elle sert</w:t>
            </w:r>
          </w:p>
        </w:tc>
      </w:tr>
      <w:tr>
        <w:tc>
          <w:tcPr>
            <w:tcW w:type="dxa" w:w="2500"/>
            <w:tcMar>
              <w:top w:type="dxa" w:w="80"/>
              <w:left w:type="dxa" w:w="130"/>
              <w:bottom w:type="dxa" w:w="80"/>
              <w:right w:type="dxa" w:w="130"/>
            </w:tcMar>
            <w:vAlign w:val="top"/>
          </w:tcPr>
          <w:p>
            <w:pPr>
              <w:spacing w:after="0" w:line="252"/>
            </w:pPr>
            <w:r>
              <w:rPr>
                <w:rFonts w:ascii="Calibri" w:cs="Calibri" w:eastAsia="Calibri" w:hAnsi="Calibri"/>
                <w:b/>
                <w:bCs/>
                <w:color w:val="1B2E42"/>
                <w:sz w:val="17"/>
                <w:szCs w:val="17"/>
              </w:rPr>
              <w:t xml:space="preserve">Le numéro de dépôt</w:t>
            </w:r>
          </w:p>
        </w:tc>
        <w:tc>
          <w:tcPr>
            <w:tcW w:type="dxa" w:w="68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Le compte de Kayna Kayna Pay chez l'opérateur choisi. C'est le destinataire du transfert.</w:t>
            </w:r>
          </w:p>
        </w:tc>
      </w:tr>
      <w:tr>
        <w:tc>
          <w:tcPr>
            <w:tcW w:type="dxa" w:w="2500"/>
            <w:tcMar>
              <w:top w:type="dxa" w:w="80"/>
              <w:left w:type="dxa" w:w="130"/>
              <w:bottom w:type="dxa" w:w="80"/>
              <w:right w:type="dxa" w:w="130"/>
            </w:tcMar>
            <w:vAlign w:val="top"/>
          </w:tcPr>
          <w:p>
            <w:pPr>
              <w:spacing w:after="0" w:line="252"/>
            </w:pPr>
            <w:r>
              <w:rPr>
                <w:rFonts w:ascii="Calibri" w:cs="Calibri" w:eastAsia="Calibri" w:hAnsi="Calibri"/>
                <w:b/>
                <w:bCs/>
                <w:color w:val="1B2E42"/>
                <w:sz w:val="17"/>
                <w:szCs w:val="17"/>
              </w:rPr>
              <w:t xml:space="preserve">Le montant</w:t>
            </w:r>
          </w:p>
        </w:tc>
        <w:tc>
          <w:tcPr>
            <w:tcW w:type="dxa" w:w="68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La somme à envoyer, telle que déclarée.</w:t>
            </w:r>
          </w:p>
        </w:tc>
      </w:tr>
      <w:tr>
        <w:tc>
          <w:tcPr>
            <w:tcW w:type="dxa" w:w="2500"/>
            <w:tcMar>
              <w:top w:type="dxa" w:w="80"/>
              <w:left w:type="dxa" w:w="130"/>
              <w:bottom w:type="dxa" w:w="80"/>
              <w:right w:type="dxa" w:w="130"/>
            </w:tcMar>
            <w:vAlign w:val="top"/>
          </w:tcPr>
          <w:p>
            <w:pPr>
              <w:spacing w:after="0" w:line="252"/>
            </w:pPr>
            <w:r>
              <w:rPr>
                <w:rFonts w:ascii="Calibri" w:cs="Calibri" w:eastAsia="Calibri" w:hAnsi="Calibri"/>
                <w:b/>
                <w:bCs/>
                <w:color w:val="1B2E42"/>
                <w:sz w:val="17"/>
                <w:szCs w:val="17"/>
              </w:rPr>
              <w:t xml:space="preserve">La référence</w:t>
            </w:r>
          </w:p>
        </w:tc>
        <w:tc>
          <w:tcPr>
            <w:tcW w:type="dxa" w:w="68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Un code du type KKP-4F7B2, à recopier dans le motif du transfert. Elle permet de retrouver le dépôt rapidement.</w:t>
            </w:r>
          </w:p>
        </w:tc>
      </w:tr>
    </w:tbl>
    <w:p>
      <w:pPr>
        <w:spacing w:after="18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tcW w:type="dxa" w:w="60"/>
            <w:shd w:fill="A81E1A" w:val="clear"/>
            <w:tcMar>
              <w:top w:type="dxa" w:w="0"/>
              <w:left w:type="dxa" w:w="0"/>
              <w:bottom w:type="dxa" w:w="0"/>
              <w:right w:type="dxa" w:w="0"/>
            </w:tcMar>
          </w:tcPr>
          <w:p>
            <w:pPr>
              <w:spacing w:after="0"/>
            </w:pPr>
            <w:r>
              <w:rPr>
                <w:sz w:val="2"/>
                <w:szCs w:val="2"/>
              </w:rPr>
              <w:t xml:space="preserve"/>
            </w:r>
          </w:p>
        </w:tc>
        <w:tc>
          <w:tcPr>
            <w:tcW w:type="dxa" w:w="9300"/>
            <w:shd w:fill="FCEBEA" w:val="clear"/>
            <w:tcMar>
              <w:top w:type="dxa" w:w="120"/>
              <w:left w:type="dxa" w:w="180"/>
              <w:bottom w:type="dxa" w:w="120"/>
              <w:right w:type="dxa" w:w="180"/>
            </w:tcMar>
          </w:tcPr>
          <w:p>
            <w:pPr>
              <w:spacing w:after="70"/>
            </w:pPr>
            <w:r>
              <w:rPr>
                <w:rFonts w:ascii="Calibri" w:cs="Calibri" w:eastAsia="Calibri" w:hAnsi="Calibri"/>
                <w:b/>
                <w:bCs/>
                <w:color w:val="A81E1A"/>
                <w:spacing w:val="20"/>
                <w:sz w:val="15"/>
                <w:szCs w:val="15"/>
              </w:rPr>
              <w:t xml:space="preserve">LA RÉFÉRENCE AIDE, ELLE N'EST PAS OBLIGATOIRE</w:t>
            </w:r>
          </w:p>
          <w:p>
            <w:pPr>
              <w:spacing w:after="60" w:line="264"/>
            </w:pPr>
            <w:r>
              <w:rPr>
                <w:rFonts w:ascii="Calibri" w:cs="Calibri" w:eastAsia="Calibri" w:hAnsi="Calibri"/>
                <w:color w:val="1B2E42"/>
                <w:sz w:val="20"/>
                <w:szCs w:val="20"/>
              </w:rPr>
              <w:t xml:space="preserve">Si le client oublie de la saisir, le versement sera quand même retrouvé grâce à son numéro et au montant. Un versement n'est jamais rejeté au seul motif que la référence manque.</w:t>
            </w:r>
          </w:p>
          <w:p>
            <w:pPr>
              <w:spacing w:after="0" w:line="264"/>
            </w:pPr>
            <w:r>
              <w:rPr>
                <w:rFonts w:ascii="Calibri" w:cs="Calibri" w:eastAsia="Calibri" w:hAnsi="Calibri"/>
                <w:color w:val="1B2E42"/>
                <w:sz w:val="20"/>
                <w:szCs w:val="20"/>
              </w:rPr>
              <w:t xml:space="preserve">Les frais de dépôt mobile money restent à la charge du client, comme pour tout transfert.</w:t>
            </w:r>
          </w:p>
        </w:tc>
      </w:tr>
    </w:tbl>
    <w:p>
      <w:pPr>
        <w:spacing w:after="140"/>
      </w:pPr>
      <w:r>
        <w:rPr>
          <w:sz w:val="2"/>
          <w:szCs w:val="2"/>
        </w:rPr>
        <w:t xml:space="preserve"/>
      </w:r>
    </w:p>
    <w:p>
      <w:pPr>
        <w:spacing w:after="110" w:line="264"/>
      </w:pPr>
      <w:r>
        <w:rPr>
          <w:rFonts w:ascii="Calibri" w:cs="Calibri" w:eastAsia="Calibri" w:hAnsi="Calibri"/>
          <w:color w:val="1B2E42"/>
          <w:sz w:val="20"/>
          <w:szCs w:val="20"/>
        </w:rPr>
        <w:t xml:space="preserve">Le client fait alors son dépôt réel depuis son application mobile money, puis revient et appuie sur « J'ai effectué le dépôt ».</w:t>
      </w:r>
    </w:p>
    <w:p>
      <w:pPr>
        <w:spacing w:after="80" w:before="190"/>
      </w:pPr>
      <w:r>
        <w:rPr>
          <w:rFonts w:ascii="Calibri" w:cs="Calibri" w:eastAsia="Calibri" w:hAnsi="Calibri"/>
          <w:b/>
          <w:bCs/>
          <w:color w:val="1B2E42"/>
          <w:sz w:val="21"/>
          <w:szCs w:val="21"/>
        </w:rPr>
        <w:t xml:space="preserve">Écran 3 — l'attente</w:t>
      </w:r>
    </w:p>
    <w:p>
      <w:pPr>
        <w:spacing w:after="110" w:line="264"/>
      </w:pPr>
      <w:r>
        <w:rPr>
          <w:rFonts w:ascii="Calibri" w:cs="Calibri" w:eastAsia="Calibri" w:hAnsi="Calibri"/>
          <w:color w:val="1B2E42"/>
          <w:sz w:val="20"/>
          <w:szCs w:val="20"/>
        </w:rPr>
        <w:t xml:space="preserve">Un minuteur de 10 minutes s'affiche pendant que l'équipe vérifie la réception. Dès la validation, l'écran bascule tout seul : « Versement validé », et le portefeuille est crédité.</w:t>
      </w:r>
    </w:p>
    <w:p>
      <w:pPr>
        <w:spacing w:after="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tcW w:type="dxa" w:w="60"/>
            <w:shd w:fill="17662F" w:val="clear"/>
            <w:tcMar>
              <w:top w:type="dxa" w:w="0"/>
              <w:left w:type="dxa" w:w="0"/>
              <w:bottom w:type="dxa" w:w="0"/>
              <w:right w:type="dxa" w:w="0"/>
            </w:tcMar>
          </w:tcPr>
          <w:p>
            <w:pPr>
              <w:spacing w:after="0"/>
            </w:pPr>
            <w:r>
              <w:rPr>
                <w:sz w:val="2"/>
                <w:szCs w:val="2"/>
              </w:rPr>
              <w:t xml:space="preserve"/>
            </w:r>
          </w:p>
        </w:tc>
        <w:tc>
          <w:tcPr>
            <w:tcW w:type="dxa" w:w="9300"/>
            <w:shd w:fill="E6F4EA" w:val="clear"/>
            <w:tcMar>
              <w:top w:type="dxa" w:w="120"/>
              <w:left w:type="dxa" w:w="180"/>
              <w:bottom w:type="dxa" w:w="120"/>
              <w:right w:type="dxa" w:w="180"/>
            </w:tcMar>
          </w:tcPr>
          <w:p>
            <w:pPr>
              <w:spacing w:after="70"/>
            </w:pPr>
            <w:r>
              <w:rPr>
                <w:rFonts w:ascii="Calibri" w:cs="Calibri" w:eastAsia="Calibri" w:hAnsi="Calibri"/>
                <w:b/>
                <w:bCs/>
                <w:color w:val="17662F"/>
                <w:spacing w:val="20"/>
                <w:sz w:val="15"/>
                <w:szCs w:val="15"/>
              </w:rPr>
              <w:t xml:space="preserve">SI LE MINUTEUR EXPIRE</w:t>
            </w:r>
          </w:p>
          <w:p>
            <w:pPr>
              <w:spacing w:after="0" w:line="264"/>
            </w:pPr>
            <w:r>
              <w:rPr>
                <w:rFonts w:ascii="Calibri" w:cs="Calibri" w:eastAsia="Calibri" w:hAnsi="Calibri"/>
                <w:color w:val="1B2E42"/>
                <w:sz w:val="20"/>
                <w:szCs w:val="20"/>
              </w:rPr>
              <w:t xml:space="preserve">Rien n'est perdu. Le versement passe simplement « en vérification » et le client reçoit un message le lui disant. Il peut fermer l'application : il sera notifié dès que l'équipe aura validé, même une heure plus tard.</w:t>
            </w:r>
          </w:p>
        </w:tc>
      </w:tr>
    </w:tbl>
    <w:p>
      <w:pPr>
        <w:spacing w:after="110" w:before="260"/>
      </w:pPr>
      <w:r>
        <w:rPr>
          <w:rFonts w:ascii="Cambria" w:cs="Cambria" w:eastAsia="Cambria" w:hAnsi="Cambria"/>
          <w:b/>
          <w:bCs/>
          <w:color w:val="003A70"/>
          <w:sz w:val="24"/>
          <w:szCs w:val="24"/>
        </w:rPr>
        <w:t xml:space="preserve">2.5  Suivre ses achats</w:t>
      </w:r>
    </w:p>
    <w:p>
      <w:pPr>
        <w:spacing w:after="110" w:line="264"/>
      </w:pPr>
      <w:r>
        <w:rPr>
          <w:rFonts w:ascii="Calibri" w:cs="Calibri" w:eastAsia="Calibri" w:hAnsi="Calibri"/>
          <w:color w:val="1B2E42"/>
          <w:sz w:val="20"/>
          <w:szCs w:val="20"/>
        </w:rPr>
        <w:t xml:space="preserve">L'onglet « Mes achats » liste tous les achats avec leur barre de progression. En ouvrant l'un d'eux, le client voit le montant versé, ce qu'il reste à payer, et l'historique complet de ses versements — date, montant, opérateur, statut.</w:t>
      </w:r>
    </w:p>
    <w:p>
      <w:pPr>
        <w:spacing w:after="60"/>
      </w:pPr>
      <w:r>
        <w:rPr>
          <w:sz w:val="2"/>
          <w:szCs w:val="2"/>
        </w:rPr>
        <w:t xml:space="preserve"/>
      </w:r>
    </w:p>
    <w:p>
      <w:pPr>
        <w:spacing w:after="110" w:line="264"/>
      </w:pPr>
      <w:r>
        <w:rPr>
          <w:rFonts w:ascii="Calibri" w:cs="Calibri" w:eastAsia="Calibri" w:hAnsi="Calibri"/>
          <w:color w:val="1B2E42"/>
          <w:sz w:val="20"/>
          <w:szCs w:val="20"/>
        </w:rPr>
        <w:t xml:space="preserve">Chaque versement porte l'un de ces états :</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État</w:t>
            </w:r>
          </w:p>
        </w:tc>
        <w:tc>
          <w:tcPr>
            <w:tcW w:type="dxa" w:w="716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Ce que ça veut dire</w:t>
            </w:r>
          </w:p>
        </w:tc>
      </w:tr>
      <w:tr>
        <w:tc>
          <w:tcPr>
            <w:tcW w:type="dxa" w:w="2200"/>
            <w:tcMar>
              <w:top w:type="dxa" w:w="80"/>
              <w:left w:type="dxa" w:w="130"/>
              <w:bottom w:type="dxa" w:w="80"/>
              <w:right w:type="dxa" w:w="130"/>
            </w:tcMar>
            <w:vAlign w:val="top"/>
          </w:tcPr>
          <w:p>
            <w:pPr>
              <w:spacing w:after="0" w:line="252"/>
            </w:pPr>
            <w:r>
              <w:rPr>
                <w:rFonts w:ascii="Calibri" w:cs="Calibri" w:eastAsia="Calibri" w:hAnsi="Calibri"/>
                <w:b/>
                <w:bCs/>
                <w:color w:val="8A6100"/>
                <w:sz w:val="17"/>
                <w:szCs w:val="17"/>
              </w:rPr>
              <w:t xml:space="preserve">En attente</w:t>
            </w:r>
          </w:p>
        </w:tc>
        <w:tc>
          <w:tcPr>
            <w:tcW w:type="dxa" w:w="71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Le dépôt est déclaré, l'équipe le vérifie.</w:t>
            </w:r>
          </w:p>
        </w:tc>
      </w:tr>
      <w:tr>
        <w:tc>
          <w:tcPr>
            <w:tcW w:type="dxa" w:w="2200"/>
            <w:tcMar>
              <w:top w:type="dxa" w:w="80"/>
              <w:left w:type="dxa" w:w="130"/>
              <w:bottom w:type="dxa" w:w="80"/>
              <w:right w:type="dxa" w:w="130"/>
            </w:tcMar>
            <w:vAlign w:val="top"/>
          </w:tcPr>
          <w:p>
            <w:pPr>
              <w:spacing w:after="0" w:line="252"/>
            </w:pPr>
            <w:r>
              <w:rPr>
                <w:rFonts w:ascii="Calibri" w:cs="Calibri" w:eastAsia="Calibri" w:hAnsi="Calibri"/>
                <w:b/>
                <w:bCs/>
                <w:color w:val="8A6100"/>
                <w:sz w:val="17"/>
                <w:szCs w:val="17"/>
              </w:rPr>
              <w:t xml:space="preserve">En vérification</w:t>
            </w:r>
          </w:p>
        </w:tc>
        <w:tc>
          <w:tcPr>
            <w:tcW w:type="dxa" w:w="71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La vérification prend plus de temps que prévu. Le versement n'est pas perdu.</w:t>
            </w:r>
          </w:p>
        </w:tc>
      </w:tr>
      <w:tr>
        <w:tc>
          <w:tcPr>
            <w:tcW w:type="dxa" w:w="2200"/>
            <w:tcMar>
              <w:top w:type="dxa" w:w="80"/>
              <w:left w:type="dxa" w:w="130"/>
              <w:bottom w:type="dxa" w:w="80"/>
              <w:right w:type="dxa" w:w="130"/>
            </w:tcMar>
            <w:vAlign w:val="top"/>
          </w:tcPr>
          <w:p>
            <w:pPr>
              <w:spacing w:after="0" w:line="252"/>
            </w:pPr>
            <w:r>
              <w:rPr>
                <w:rFonts w:ascii="Calibri" w:cs="Calibri" w:eastAsia="Calibri" w:hAnsi="Calibri"/>
                <w:b/>
                <w:bCs/>
                <w:color w:val="17662F"/>
                <w:sz w:val="17"/>
                <w:szCs w:val="17"/>
              </w:rPr>
              <w:t xml:space="preserve">Validé</w:t>
            </w:r>
          </w:p>
        </w:tc>
        <w:tc>
          <w:tcPr>
            <w:tcW w:type="dxa" w:w="71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L'argent est crédité au portefeuille.</w:t>
            </w:r>
          </w:p>
        </w:tc>
      </w:tr>
      <w:tr>
        <w:tc>
          <w:tcPr>
            <w:tcW w:type="dxa" w:w="2200"/>
            <w:tcMar>
              <w:top w:type="dxa" w:w="80"/>
              <w:left w:type="dxa" w:w="130"/>
              <w:bottom w:type="dxa" w:w="80"/>
              <w:right w:type="dxa" w:w="130"/>
            </w:tcMar>
            <w:vAlign w:val="top"/>
          </w:tcPr>
          <w:p>
            <w:pPr>
              <w:spacing w:after="0" w:line="252"/>
            </w:pPr>
            <w:r>
              <w:rPr>
                <w:rFonts w:ascii="Calibri" w:cs="Calibri" w:eastAsia="Calibri" w:hAnsi="Calibri"/>
                <w:b/>
                <w:bCs/>
                <w:color w:val="A81E1A"/>
                <w:sz w:val="17"/>
                <w:szCs w:val="17"/>
              </w:rPr>
              <w:t xml:space="preserve">Rejeté</w:t>
            </w:r>
          </w:p>
        </w:tc>
        <w:tc>
          <w:tcPr>
            <w:tcW w:type="dxa" w:w="71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Le dépôt n'a pas été retrouvé. Le motif est affiché ; le client peut relancer.</w:t>
            </w:r>
          </w:p>
        </w:tc>
      </w:tr>
    </w:tbl>
    <w:p>
      <w:pPr>
        <w:spacing w:after="200"/>
      </w:pPr>
      <w:r>
        <w:rPr>
          <w:sz w:val="2"/>
          <w:szCs w:val="2"/>
        </w:rPr>
        <w:t xml:space="preserve"/>
      </w:r>
    </w:p>
    <w:p>
      <w:pPr>
        <w:spacing w:after="110" w:line="264"/>
      </w:pPr>
      <w:r>
        <w:rPr>
          <w:rFonts w:ascii="Calibri" w:cs="Calibri" w:eastAsia="Calibri" w:hAnsi="Calibri"/>
          <w:color w:val="1B2E42"/>
          <w:sz w:val="20"/>
          <w:szCs w:val="20"/>
        </w:rPr>
        <w:t xml:space="preserve">Quand le montant total est atteint, l'achat passe « complété ». Le client est félicité, le vendeur est prévenu, et l'équipe organise la remise. Un récapitulatif complet reste consultable : il vaut preuve d'achat.</w:t>
      </w:r>
    </w:p>
    <w:p>
      <w:pPr>
        <w:spacing w:after="110" w:before="260"/>
      </w:pPr>
      <w:r>
        <w:rPr>
          <w:rFonts w:ascii="Cambria" w:cs="Cambria" w:eastAsia="Cambria" w:hAnsi="Cambria"/>
          <w:b/>
          <w:bCs/>
          <w:color w:val="003A70"/>
          <w:sz w:val="24"/>
          <w:szCs w:val="24"/>
        </w:rPr>
        <w:t xml:space="preserve">2.6  Annuler un achat</w:t>
      </w:r>
    </w:p>
    <w:p>
      <w:pPr>
        <w:spacing w:after="110" w:line="264"/>
      </w:pPr>
      <w:r>
        <w:rPr>
          <w:rFonts w:ascii="Calibri" w:cs="Calibri" w:eastAsia="Calibri" w:hAnsi="Calibri"/>
          <w:color w:val="1B2E42"/>
          <w:sz w:val="20"/>
          <w:szCs w:val="20"/>
        </w:rPr>
        <w:t xml:space="preserve">Depuis le détail d'un achat en cours, le client peut demander une annulation. La demande est traitée par l'équipe, qui le recontacte. Le montant déjà versé lui est remboursé selon les règles des conditions générales.</w:t>
      </w:r>
    </w:p>
    <w:p>
      <w:pPr>
        <w:spacing w:after="110" w:before="260"/>
      </w:pPr>
      <w:r>
        <w:rPr>
          <w:rFonts w:ascii="Cambria" w:cs="Cambria" w:eastAsia="Cambria" w:hAnsi="Cambria"/>
          <w:b/>
          <w:bCs/>
          <w:color w:val="003A70"/>
          <w:sz w:val="24"/>
          <w:szCs w:val="24"/>
        </w:rPr>
        <w:t xml:space="preserve">2.7  Notifications, profil et aide</w:t>
      </w:r>
    </w:p>
    <w:p>
      <w:pPr>
        <w:spacing w:after="60" w:line="264"/>
      </w:pPr>
      <w:r>
        <w:rPr>
          <w:rFonts w:ascii="Calibri" w:cs="Calibri" w:eastAsia="Calibri" w:hAnsi="Calibri"/>
          <w:color w:val="1B2E42"/>
          <w:sz w:val="20"/>
          <w:szCs w:val="20"/>
        </w:rPr>
        <w:t xml:space="preserve">Dès qu'un versement est validé ou rejeté, un bandeau descend en haut de l'écran, quel que soit l'endroit où se trouve le client dans l'application. Il indique le montant et le total atteint, disparaît seul au bout de quelques secondes, et ouvre l'achat concerné si on appuie dessus. Les chiffres affichés se mettent à jour au même instant.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tcW w:type="dxa" w:w="60"/>
            <w:shd w:fill="A81E1A" w:val="clear"/>
            <w:tcMar>
              <w:top w:type="dxa" w:w="0"/>
              <w:left w:type="dxa" w:w="0"/>
              <w:bottom w:type="dxa" w:w="0"/>
              <w:right w:type="dxa" w:w="0"/>
            </w:tcMar>
          </w:tcPr>
          <w:p>
            <w:pPr>
              <w:spacing w:after="0"/>
            </w:pPr>
            <w:r>
              <w:rPr>
                <w:sz w:val="2"/>
                <w:szCs w:val="2"/>
              </w:rPr>
              <w:t xml:space="preserve"/>
            </w:r>
          </w:p>
        </w:tc>
        <w:tc>
          <w:tcPr>
            <w:tcW w:type="dxa" w:w="9300"/>
            <w:shd w:fill="FCEBEA" w:val="clear"/>
            <w:tcMar>
              <w:top w:type="dxa" w:w="120"/>
              <w:left w:type="dxa" w:w="180"/>
              <w:bottom w:type="dxa" w:w="120"/>
              <w:right w:type="dxa" w:w="180"/>
            </w:tcMar>
          </w:tcPr>
          <w:p>
            <w:pPr>
              <w:spacing w:after="70"/>
            </w:pPr>
            <w:r>
              <w:rPr>
                <w:rFonts w:ascii="Calibri" w:cs="Calibri" w:eastAsia="Calibri" w:hAnsi="Calibri"/>
                <w:b/>
                <w:bCs/>
                <w:color w:val="A81E1A"/>
                <w:spacing w:val="20"/>
                <w:sz w:val="15"/>
                <w:szCs w:val="15"/>
              </w:rPr>
              <w:t xml:space="preserve">CE QUE LE CLIENT NE REÇOIT PAS ENCORE</w:t>
            </w:r>
          </w:p>
          <w:p>
            <w:pPr>
              <w:spacing w:after="0" w:line="264"/>
            </w:pPr>
            <w:r>
              <w:rPr>
                <w:rFonts w:ascii="Calibri" w:cs="Calibri" w:eastAsia="Calibri" w:hAnsi="Calibri"/>
                <w:color w:val="1B2E42"/>
                <w:sz w:val="20"/>
                <w:szCs w:val="20"/>
              </w:rPr>
              <w:t xml:space="preserve">Tout cela suppose l'application ouverte. Application fermée, le client n'apprend rien : les notifications qui atteignent un téléphone en veille demandent une passerelle qui reste à mettre en place. Le client retrouve tout à sa prochaine ouverture — rien n'est perdu, seulement différé.</w:t>
            </w:r>
          </w:p>
        </w:tc>
      </w:tr>
    </w:tbl>
    <w:p>
      <w:pPr>
        <w:spacing w:after="140"/>
      </w:pPr>
      <w:r>
        <w:rPr>
          <w:sz w:val="2"/>
          <w:szCs w:val="2"/>
        </w:rPr>
        <w:t xml:space="preserve"/>
      </w:r>
    </w:p>
    <w:p>
      <w:pPr>
        <w:pStyle w:val="ListParagraph"/>
        <w:numPr>
          <w:ilvl w:val="0"/>
          <w:numId w:val="1"/>
        </w:numPr>
        <w:spacing w:after="60" w:line="264"/>
      </w:pPr>
      <w:r>
        <w:rPr>
          <w:rFonts w:ascii="Calibri" w:cs="Calibri" w:eastAsia="Calibri" w:hAnsi="Calibri"/>
          <w:b/>
          <w:bCs/>
          <w:color w:val="1B2E42"/>
          <w:sz w:val="20"/>
          <w:szCs w:val="20"/>
        </w:rPr>
        <w:t xml:space="preserve">Notifications</w:t>
      </w:r>
      <w:r>
        <w:rPr>
          <w:rFonts w:ascii="Calibri" w:cs="Calibri" w:eastAsia="Calibri" w:hAnsi="Calibri"/>
          <w:color w:val="1B2E42"/>
          <w:sz w:val="20"/>
          <w:szCs w:val="20"/>
        </w:rPr>
        <w:t xml:space="preserve"> — l'onglet regroupe tout l'historique : versements validés ou rejetés, achats complétés, informations de livraison, rappels d'encouragement. Une pastille rouge sur l'onglet compte ce qui n'a pas été lu.</w:t>
      </w:r>
    </w:p>
    <w:p>
      <w:pPr>
        <w:pStyle w:val="ListParagraph"/>
        <w:numPr>
          <w:ilvl w:val="0"/>
          <w:numId w:val="1"/>
        </w:numPr>
        <w:spacing w:after="60" w:line="264"/>
      </w:pPr>
      <w:r>
        <w:rPr>
          <w:rFonts w:ascii="Calibri" w:cs="Calibri" w:eastAsia="Calibri" w:hAnsi="Calibri"/>
          <w:b/>
          <w:bCs/>
          <w:color w:val="1B2E42"/>
          <w:sz w:val="20"/>
          <w:szCs w:val="20"/>
        </w:rPr>
        <w:t xml:space="preserve">Profil</w:t>
      </w:r>
      <w:r>
        <w:rPr>
          <w:rFonts w:ascii="Calibri" w:cs="Calibri" w:eastAsia="Calibri" w:hAnsi="Calibri"/>
          <w:color w:val="1B2E42"/>
          <w:sz w:val="20"/>
          <w:szCs w:val="20"/>
        </w:rPr>
        <w:t xml:space="preserve"> — modifier son mot de passe, consulter les conditions générales, la politique de confidentialité, l'aide et le contact, se déconnecter ou supprimer son compte.</w:t>
      </w:r>
    </w:p>
    <w:p>
      <w:pPr>
        <w:pageBreakBefore/>
        <w:pBdr>
          <w:bottom w:val="single" w:color="005CA9" w:sz="10" w:space="6"/>
        </w:pBdr>
        <w:spacing w:after="200" w:before="0"/>
      </w:pPr>
      <w:r>
        <w:rPr>
          <w:rFonts w:ascii="Cambria" w:cs="Cambria" w:eastAsia="Cambria" w:hAnsi="Cambria"/>
          <w:b/>
          <w:bCs/>
          <w:color w:val="003A70"/>
          <w:sz w:val="30"/>
          <w:szCs w:val="30"/>
        </w:rPr>
        <w:t xml:space="preserve">3.  L'équipe — l'espace d'administration</w:t>
      </w:r>
    </w:p>
    <w:p>
      <w:pPr>
        <w:spacing w:after="110" w:line="264"/>
      </w:pPr>
      <w:r>
        <w:rPr>
          <w:rFonts w:ascii="Calibri" w:cs="Calibri" w:eastAsia="Calibri" w:hAnsi="Calibri"/>
          <w:color w:val="1B2E42"/>
          <w:sz w:val="20"/>
          <w:szCs w:val="20"/>
        </w:rPr>
        <w:t xml:space="preserve">C'est l'outil de travail quotidien de l'équipe Kayna Kayna Pay. Il s'ouvre dans un navigateur, à l'adresse de la plateforme.</w:t>
      </w:r>
    </w:p>
    <w:p>
      <w:pPr>
        <w:spacing w:after="110" w:before="260"/>
      </w:pPr>
      <w:r>
        <w:rPr>
          <w:rFonts w:ascii="Cambria" w:cs="Cambria" w:eastAsia="Cambria" w:hAnsi="Cambria"/>
          <w:b/>
          <w:bCs/>
          <w:color w:val="003A70"/>
          <w:sz w:val="24"/>
          <w:szCs w:val="24"/>
        </w:rPr>
        <w:t xml:space="preserve">3.1  Se connecter</w:t>
      </w:r>
    </w:p>
    <w:p>
      <w:pPr>
        <w:spacing w:after="140" w:line="264"/>
      </w:pPr>
      <w:r>
        <w:rPr>
          <w:rFonts w:ascii="Calibri" w:cs="Calibri" w:eastAsia="Calibri" w:hAnsi="Calibri"/>
          <w:color w:val="1B2E42"/>
          <w:sz w:val="20"/>
          <w:szCs w:val="20"/>
        </w:rPr>
        <w:t xml:space="preserve">Une fois connecté, le temps réel vaut sur toutes les pages : un versement déclaré fait apparaître un bandeau et incrémente le compteur de la « File de validation », que vous soyez sur le catalogue, les achats ou les paramètres. Un voyant en bas de la barre latérale indique si la liaison est active — une file figée par une coupure réseau se lit autrement comme une file vide.</w:t>
      </w:r>
    </w:p>
    <w:p>
      <w:pPr>
        <w:spacing w:after="110" w:line="264"/>
      </w:pPr>
      <w:r>
        <w:rPr>
          <w:rFonts w:ascii="Calibri" w:cs="Calibri" w:eastAsia="Calibri" w:hAnsi="Calibri"/>
          <w:color w:val="1B2E42"/>
          <w:sz w:val="20"/>
          <w:szCs w:val="20"/>
        </w:rPr>
        <w:t xml:space="preserve">La connexion se fait en deux temps, parce qu'un compte d'administration donne accès à l'argent des clients.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tcMar>
              <w:top w:type="dxa" w:w="40"/>
              <w:left w:type="dxa" w:w="0"/>
              <w:bottom w:type="dxa" w:w="40"/>
              <w:right w:type="dxa" w:w="100"/>
            </w:tcMar>
          </w:tcPr>
          <w:p>
            <w:pPr>
              <w:spacing w:after="0"/>
              <w:jc w:val="center"/>
            </w:pPr>
            <w:r>
              <w:rPr>
                <w:rFonts w:ascii="Calibri" w:cs="Calibri" w:eastAsia="Calibri" w:hAnsi="Calibri"/>
                <w:b/>
                <w:bCs/>
                <w:color w:val="005CA9"/>
                <w:sz w:val="20"/>
                <w:szCs w:val="20"/>
              </w:rPr>
              <w:t xml:space="preserve">1</w:t>
            </w:r>
          </w:p>
        </w:tc>
        <w:tc>
          <w:tcPr>
            <w:tcW w:type="dxa" w:w="8840"/>
            <w:tcMar>
              <w:top w:type="dxa" w:w="40"/>
              <w:left w:type="dxa" w:w="0"/>
              <w:bottom w:type="dxa" w:w="90"/>
              <w:right w:type="dxa" w:w="0"/>
            </w:tcMar>
          </w:tcPr>
          <w:p>
            <w:pPr>
              <w:spacing w:after="0" w:line="264"/>
            </w:pPr>
            <w:r>
              <w:rPr>
                <w:rFonts w:ascii="Calibri" w:cs="Calibri" w:eastAsia="Calibri" w:hAnsi="Calibri"/>
                <w:color w:val="1B2E42"/>
                <w:sz w:val="20"/>
                <w:szCs w:val="20"/>
              </w:rPr>
              <w:t xml:space="preserve">Saisir son numéro de téléphone et son mot de passe.</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tcMar>
              <w:top w:type="dxa" w:w="40"/>
              <w:left w:type="dxa" w:w="0"/>
              <w:bottom w:type="dxa" w:w="40"/>
              <w:right w:type="dxa" w:w="100"/>
            </w:tcMar>
          </w:tcPr>
          <w:p>
            <w:pPr>
              <w:spacing w:after="0"/>
              <w:jc w:val="center"/>
            </w:pPr>
            <w:r>
              <w:rPr>
                <w:rFonts w:ascii="Calibri" w:cs="Calibri" w:eastAsia="Calibri" w:hAnsi="Calibri"/>
                <w:b/>
                <w:bCs/>
                <w:color w:val="005CA9"/>
                <w:sz w:val="20"/>
                <w:szCs w:val="20"/>
              </w:rPr>
              <w:t xml:space="preserve">2</w:t>
            </w:r>
          </w:p>
        </w:tc>
        <w:tc>
          <w:tcPr>
            <w:tcW w:type="dxa" w:w="8840"/>
            <w:tcMar>
              <w:top w:type="dxa" w:w="40"/>
              <w:left w:type="dxa" w:w="0"/>
              <w:bottom w:type="dxa" w:w="40"/>
              <w:right w:type="dxa" w:w="0"/>
            </w:tcMar>
          </w:tcPr>
          <w:p>
            <w:pPr>
              <w:spacing w:after="0" w:line="264"/>
            </w:pPr>
            <w:r>
              <w:rPr>
                <w:rFonts w:ascii="Calibri" w:cs="Calibri" w:eastAsia="Calibri" w:hAnsi="Calibri"/>
                <w:color w:val="1B2E42"/>
                <w:sz w:val="20"/>
                <w:szCs w:val="20"/>
              </w:rPr>
              <w:t xml:space="preserve">Saisir le </w:t>
            </w:r>
            <w:r>
              <w:rPr>
                <w:rFonts w:ascii="Calibri" w:cs="Calibri" w:eastAsia="Calibri" w:hAnsi="Calibri"/>
                <w:b/>
                <w:bCs/>
                <w:color w:val="1B2E42"/>
                <w:sz w:val="20"/>
                <w:szCs w:val="20"/>
              </w:rPr>
              <w:t xml:space="preserve">code à 6 chiffres reçu par SMS</w:t>
            </w:r>
            <w:r>
              <w:rPr>
                <w:rFonts w:ascii="Calibri" w:cs="Calibri" w:eastAsia="Calibri" w:hAnsi="Calibri"/>
                <w:color w:val="1B2E42"/>
                <w:sz w:val="20"/>
                <w:szCs w:val="20"/>
              </w:rPr>
              <w:t xml:space="preserve">. Il vaut 10 minutes et ne sert qu'une fois.</w:t>
            </w:r>
          </w:p>
        </w:tc>
      </w:tr>
    </w:tbl>
    <w:p>
      <w:pPr>
        <w:spacing w:after="8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tcW w:type="dxa" w:w="60"/>
            <w:shd w:fill="A81E1A" w:val="clear"/>
            <w:tcMar>
              <w:top w:type="dxa" w:w="0"/>
              <w:left w:type="dxa" w:w="0"/>
              <w:bottom w:type="dxa" w:w="0"/>
              <w:right w:type="dxa" w:w="0"/>
            </w:tcMar>
          </w:tcPr>
          <w:p>
            <w:pPr>
              <w:spacing w:after="0"/>
            </w:pPr>
            <w:r>
              <w:rPr>
                <w:sz w:val="2"/>
                <w:szCs w:val="2"/>
              </w:rPr>
              <w:t xml:space="preserve"/>
            </w:r>
          </w:p>
        </w:tc>
        <w:tc>
          <w:tcPr>
            <w:tcW w:type="dxa" w:w="9300"/>
            <w:shd w:fill="FCEBEA" w:val="clear"/>
            <w:tcMar>
              <w:top w:type="dxa" w:w="120"/>
              <w:left w:type="dxa" w:w="180"/>
              <w:bottom w:type="dxa" w:w="120"/>
              <w:right w:type="dxa" w:w="180"/>
            </w:tcMar>
          </w:tcPr>
          <w:p>
            <w:pPr>
              <w:spacing w:after="70"/>
            </w:pPr>
            <w:r>
              <w:rPr>
                <w:rFonts w:ascii="Calibri" w:cs="Calibri" w:eastAsia="Calibri" w:hAnsi="Calibri"/>
                <w:b/>
                <w:bCs/>
                <w:color w:val="A81E1A"/>
                <w:spacing w:val="20"/>
                <w:sz w:val="15"/>
                <w:szCs w:val="15"/>
              </w:rPr>
              <w:t xml:space="preserve">TROIS RÈGLES À NE PAS CONTOURNER</w:t>
            </w:r>
          </w:p>
          <w:p>
            <w:pPr>
              <w:pStyle w:val="ListParagraph"/>
              <w:numPr>
                <w:ilvl w:val="0"/>
                <w:numId w:val="1"/>
              </w:numPr>
              <w:spacing w:after="40" w:line="264"/>
            </w:pPr>
            <w:r>
              <w:rPr>
                <w:rFonts w:ascii="Calibri" w:cs="Calibri" w:eastAsia="Calibri" w:hAnsi="Calibri"/>
                <w:b/>
                <w:bCs/>
                <w:color w:val="1B2E42"/>
                <w:sz w:val="20"/>
                <w:szCs w:val="20"/>
              </w:rPr>
              <w:t xml:space="preserve">Un compte par personne.</w:t>
            </w:r>
            <w:r>
              <w:rPr>
                <w:rFonts w:ascii="Calibri" w:cs="Calibri" w:eastAsia="Calibri" w:hAnsi="Calibri"/>
                <w:color w:val="1B2E42"/>
                <w:sz w:val="20"/>
                <w:szCs w:val="20"/>
              </w:rPr>
              <w:t xml:space="preserve"> Jamais de compte partagé : le journal d'audit ne vaut que si « qui » désigne quelqu'un.</w:t>
            </w:r>
          </w:p>
          <w:p>
            <w:pPr>
              <w:pStyle w:val="ListParagraph"/>
              <w:numPr>
                <w:ilvl w:val="0"/>
                <w:numId w:val="1"/>
              </w:numPr>
              <w:spacing w:after="40" w:line="264"/>
            </w:pPr>
            <w:r>
              <w:rPr>
                <w:rFonts w:ascii="Calibri" w:cs="Calibri" w:eastAsia="Calibri" w:hAnsi="Calibri"/>
                <w:b/>
                <w:bCs/>
                <w:color w:val="1B2E42"/>
                <w:sz w:val="20"/>
                <w:szCs w:val="20"/>
              </w:rPr>
              <w:t xml:space="preserve">Le numéro doit être accessible.</w:t>
            </w:r>
            <w:r>
              <w:rPr>
                <w:rFonts w:ascii="Calibri" w:cs="Calibri" w:eastAsia="Calibri" w:hAnsi="Calibri"/>
                <w:color w:val="1B2E42"/>
                <w:sz w:val="20"/>
                <w:szCs w:val="20"/>
              </w:rPr>
              <w:t xml:space="preserve"> C'est lui qui reçoit le code de connexion.</w:t>
            </w:r>
          </w:p>
          <w:p>
            <w:pPr>
              <w:pStyle w:val="ListParagraph"/>
              <w:numPr>
                <w:ilvl w:val="0"/>
                <w:numId w:val="1"/>
              </w:numPr>
              <w:spacing w:after="0" w:line="264"/>
            </w:pPr>
            <w:r>
              <w:rPr>
                <w:rFonts w:ascii="Calibri" w:cs="Calibri" w:eastAsia="Calibri" w:hAnsi="Calibri"/>
                <w:b/>
                <w:bCs/>
                <w:color w:val="1B2E42"/>
                <w:sz w:val="20"/>
                <w:szCs w:val="20"/>
              </w:rPr>
              <w:t xml:space="preserve">Un départ, une suspension.</w:t>
            </w:r>
            <w:r>
              <w:rPr>
                <w:rFonts w:ascii="Calibri" w:cs="Calibri" w:eastAsia="Calibri" w:hAnsi="Calibri"/>
                <w:color w:val="1B2E42"/>
                <w:sz w:val="20"/>
                <w:szCs w:val="20"/>
              </w:rPr>
              <w:t xml:space="preserve"> Le compte d'une personne qui quitte l'équipe est suspendu le jour même.</w:t>
            </w:r>
          </w:p>
        </w:tc>
      </w:tr>
    </w:tbl>
    <w:p>
      <w:pPr>
        <w:spacing w:after="110" w:before="260"/>
      </w:pPr>
      <w:r>
        <w:rPr>
          <w:rFonts w:ascii="Cambria" w:cs="Cambria" w:eastAsia="Cambria" w:hAnsi="Cambria"/>
          <w:b/>
          <w:bCs/>
          <w:color w:val="003A70"/>
          <w:sz w:val="24"/>
          <w:szCs w:val="24"/>
        </w:rPr>
        <w:t xml:space="preserve">3.2  La file de validation — l'écran principal</w:t>
      </w:r>
    </w:p>
    <w:p>
      <w:pPr>
        <w:spacing w:after="110" w:line="264"/>
      </w:pPr>
      <w:r>
        <w:rPr>
          <w:rFonts w:ascii="Calibri" w:cs="Calibri" w:eastAsia="Calibri" w:hAnsi="Calibri"/>
          <w:color w:val="1B2E42"/>
          <w:sz w:val="20"/>
          <w:szCs w:val="20"/>
        </w:rPr>
        <w:t xml:space="preserve">C'est là que se passe l'essentiel du travail. Chaque versement déclaré par un client y apparaît tout seul, sans rafraîchir la page. Quatre onglets : en attente, en vérification, validés, rejetés.</w:t>
      </w:r>
    </w:p>
    <w:p>
      <w:pPr>
        <w:spacing w:after="60"/>
      </w:pPr>
      <w:r>
        <w:rPr>
          <w:sz w:val="2"/>
          <w:szCs w:val="2"/>
        </w:rPr>
        <w:t xml:space="preserve"/>
      </w:r>
    </w:p>
    <w:p>
      <w:pPr>
        <w:spacing w:after="110" w:line="264"/>
      </w:pPr>
      <w:r>
        <w:rPr>
          <w:rFonts w:ascii="Calibri" w:cs="Calibri" w:eastAsia="Calibri" w:hAnsi="Calibri"/>
          <w:color w:val="1B2E42"/>
          <w:sz w:val="20"/>
          <w:szCs w:val="20"/>
        </w:rPr>
        <w:t xml:space="preserve">Pour chaque ligne, l'équipe voit le nom et le numéro du client, le produit, l'opérateur, le montant déclaré et l'heure de la déclaration.</w:t>
      </w:r>
    </w:p>
    <w:p>
      <w:pPr>
        <w:spacing w:after="80" w:before="190"/>
      </w:pPr>
      <w:r>
        <w:rPr>
          <w:rFonts w:ascii="Calibri" w:cs="Calibri" w:eastAsia="Calibri" w:hAnsi="Calibri"/>
          <w:b/>
          <w:bCs/>
          <w:color w:val="1B2E42"/>
          <w:sz w:val="21"/>
          <w:szCs w:val="21"/>
        </w:rPr>
        <w:t xml:space="preserve">La procédure, pas à pas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tcMar>
              <w:top w:type="dxa" w:w="40"/>
              <w:left w:type="dxa" w:w="0"/>
              <w:bottom w:type="dxa" w:w="40"/>
              <w:right w:type="dxa" w:w="100"/>
            </w:tcMar>
          </w:tcPr>
          <w:p>
            <w:pPr>
              <w:spacing w:after="0"/>
              <w:jc w:val="center"/>
            </w:pPr>
            <w:r>
              <w:rPr>
                <w:rFonts w:ascii="Calibri" w:cs="Calibri" w:eastAsia="Calibri" w:hAnsi="Calibri"/>
                <w:b/>
                <w:bCs/>
                <w:color w:val="005CA9"/>
                <w:sz w:val="20"/>
                <w:szCs w:val="20"/>
              </w:rPr>
              <w:t xml:space="preserve">1</w:t>
            </w:r>
          </w:p>
        </w:tc>
        <w:tc>
          <w:tcPr>
            <w:tcW w:type="dxa" w:w="8840"/>
            <w:tcMar>
              <w:top w:type="dxa" w:w="40"/>
              <w:left w:type="dxa" w:w="0"/>
              <w:bottom w:type="dxa" w:w="90"/>
              <w:right w:type="dxa" w:w="0"/>
            </w:tcMar>
          </w:tcPr>
          <w:p>
            <w:pPr>
              <w:spacing w:after="0" w:line="264"/>
            </w:pPr>
            <w:r>
              <w:rPr>
                <w:rFonts w:ascii="Calibri" w:cs="Calibri" w:eastAsia="Calibri" w:hAnsi="Calibri"/>
                <w:color w:val="1B2E42"/>
                <w:sz w:val="20"/>
                <w:szCs w:val="20"/>
              </w:rPr>
              <w:t xml:space="preserve">Lire la ligne : montant, opérateur, référence, numéro du client.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tcMar>
              <w:top w:type="dxa" w:w="40"/>
              <w:left w:type="dxa" w:w="0"/>
              <w:bottom w:type="dxa" w:w="40"/>
              <w:right w:type="dxa" w:w="100"/>
            </w:tcMar>
          </w:tcPr>
          <w:p>
            <w:pPr>
              <w:spacing w:after="0"/>
              <w:jc w:val="center"/>
            </w:pPr>
            <w:r>
              <w:rPr>
                <w:rFonts w:ascii="Calibri" w:cs="Calibri" w:eastAsia="Calibri" w:hAnsi="Calibri"/>
                <w:b/>
                <w:bCs/>
                <w:color w:val="005CA9"/>
                <w:sz w:val="20"/>
                <w:szCs w:val="20"/>
              </w:rPr>
              <w:t xml:space="preserve">2</w:t>
            </w:r>
          </w:p>
        </w:tc>
        <w:tc>
          <w:tcPr>
            <w:tcW w:type="dxa" w:w="8840"/>
            <w:tcMar>
              <w:top w:type="dxa" w:w="40"/>
              <w:left w:type="dxa" w:w="0"/>
              <w:bottom w:type="dxa" w:w="90"/>
              <w:right w:type="dxa" w:w="0"/>
            </w:tcMar>
          </w:tcPr>
          <w:p>
            <w:pPr>
              <w:spacing w:after="0" w:line="264"/>
            </w:pPr>
            <w:r>
              <w:rPr>
                <w:rFonts w:ascii="Calibri" w:cs="Calibri" w:eastAsia="Calibri" w:hAnsi="Calibri"/>
                <w:color w:val="1B2E42"/>
                <w:sz w:val="20"/>
                <w:szCs w:val="20"/>
              </w:rPr>
              <w:t xml:space="preserve">Ouvrir l'</w:t>
            </w:r>
            <w:r>
              <w:rPr>
                <w:rFonts w:ascii="Calibri" w:cs="Calibri" w:eastAsia="Calibri" w:hAnsi="Calibri"/>
                <w:b/>
                <w:bCs/>
                <w:color w:val="1B2E42"/>
                <w:sz w:val="20"/>
                <w:szCs w:val="20"/>
              </w:rPr>
              <w:t xml:space="preserve">application mobile money de la plateforme</w:t>
            </w:r>
            <w:r>
              <w:rPr>
                <w:rFonts w:ascii="Calibri" w:cs="Calibri" w:eastAsia="Calibri" w:hAnsi="Calibri"/>
                <w:color w:val="1B2E42"/>
                <w:sz w:val="20"/>
                <w:szCs w:val="20"/>
              </w:rPr>
              <w:t xml:space="preserve"> correspondant à l'opérateur choisi, et chercher le dépôt en croisant trois éléments : le montant, le numéro émetteur, et la référence si elle a été saisie.</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tcMar>
              <w:top w:type="dxa" w:w="40"/>
              <w:left w:type="dxa" w:w="0"/>
              <w:bottom w:type="dxa" w:w="40"/>
              <w:right w:type="dxa" w:w="100"/>
            </w:tcMar>
          </w:tcPr>
          <w:p>
            <w:pPr>
              <w:spacing w:after="0"/>
              <w:jc w:val="center"/>
            </w:pPr>
            <w:r>
              <w:rPr>
                <w:rFonts w:ascii="Calibri" w:cs="Calibri" w:eastAsia="Calibri" w:hAnsi="Calibri"/>
                <w:b/>
                <w:bCs/>
                <w:color w:val="005CA9"/>
                <w:sz w:val="20"/>
                <w:szCs w:val="20"/>
              </w:rPr>
              <w:t xml:space="preserve">3</w:t>
            </w:r>
          </w:p>
        </w:tc>
        <w:tc>
          <w:tcPr>
            <w:tcW w:type="dxa" w:w="8840"/>
            <w:tcMar>
              <w:top w:type="dxa" w:w="40"/>
              <w:left w:type="dxa" w:w="0"/>
              <w:bottom w:type="dxa" w:w="40"/>
              <w:right w:type="dxa" w:w="0"/>
            </w:tcMar>
          </w:tcPr>
          <w:p>
            <w:pPr>
              <w:spacing w:after="0" w:line="264"/>
            </w:pPr>
            <w:r>
              <w:rPr>
                <w:rFonts w:ascii="Calibri" w:cs="Calibri" w:eastAsia="Calibri" w:hAnsi="Calibri"/>
                <w:color w:val="1B2E42"/>
                <w:sz w:val="20"/>
                <w:szCs w:val="20"/>
              </w:rPr>
              <w:t xml:space="preserve">Décider — valider, ou rejeter avec un motif.</w:t>
            </w:r>
          </w:p>
        </w:tc>
      </w:tr>
    </w:tbl>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Ce que vous constatez</w:t>
            </w:r>
          </w:p>
        </w:tc>
        <w:tc>
          <w:tcPr>
            <w:tcW w:type="dxa" w:w="596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Ce que vous faites</w:t>
            </w:r>
          </w:p>
        </w:tc>
      </w:tr>
      <w:tr>
        <w:tc>
          <w:tcPr>
            <w:tcW w:type="dxa" w:w="340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Le dépôt est là, montant identique</w:t>
            </w:r>
          </w:p>
        </w:tc>
        <w:tc>
          <w:tcPr>
            <w:tcW w:type="dxa" w:w="5960"/>
            <w:tcMar>
              <w:top w:type="dxa" w:w="80"/>
              <w:left w:type="dxa" w:w="130"/>
              <w:bottom w:type="dxa" w:w="80"/>
              <w:right w:type="dxa" w:w="130"/>
            </w:tcMar>
            <w:vAlign w:val="top"/>
          </w:tcPr>
          <w:p>
            <w:pPr>
              <w:spacing w:after="0" w:line="252"/>
            </w:pPr>
            <w:r>
              <w:rPr>
                <w:rFonts w:ascii="Calibri" w:cs="Calibri" w:eastAsia="Calibri" w:hAnsi="Calibri"/>
                <w:b/>
                <w:bCs/>
                <w:color w:val="17662F"/>
                <w:sz w:val="17"/>
                <w:szCs w:val="17"/>
              </w:rPr>
              <w:t xml:space="preserve">Valider</w:t>
            </w:r>
            <w:r>
              <w:rPr>
                <w:rFonts w:ascii="Calibri" w:cs="Calibri" w:eastAsia="Calibri" w:hAnsi="Calibri"/>
                <w:color w:val="1B2E42"/>
                <w:sz w:val="17"/>
                <w:szCs w:val="17"/>
              </w:rPr>
              <w:t xml:space="preserve"> en laissant le montant proposé.</w:t>
            </w:r>
          </w:p>
        </w:tc>
      </w:tr>
      <w:tr>
        <w:tc>
          <w:tcPr>
            <w:tcW w:type="dxa" w:w="340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Le dépôt est là, montant différent</w:t>
            </w:r>
          </w:p>
        </w:tc>
        <w:tc>
          <w:tcPr>
            <w:tcW w:type="dxa" w:w="5960"/>
            <w:tcMar>
              <w:top w:type="dxa" w:w="80"/>
              <w:left w:type="dxa" w:w="130"/>
              <w:bottom w:type="dxa" w:w="80"/>
              <w:right w:type="dxa" w:w="130"/>
            </w:tcMar>
            <w:vAlign w:val="top"/>
          </w:tcPr>
          <w:p>
            <w:pPr>
              <w:spacing w:after="0" w:line="252"/>
            </w:pPr>
            <w:r>
              <w:rPr>
                <w:rFonts w:ascii="Calibri" w:cs="Calibri" w:eastAsia="Calibri" w:hAnsi="Calibri"/>
                <w:b/>
                <w:bCs/>
                <w:color w:val="17662F"/>
                <w:sz w:val="17"/>
                <w:szCs w:val="17"/>
              </w:rPr>
              <w:t xml:space="preserve">Valider</w:t>
            </w:r>
            <w:r>
              <w:rPr>
                <w:rFonts w:ascii="Calibri" w:cs="Calibri" w:eastAsia="Calibri" w:hAnsi="Calibri"/>
                <w:color w:val="1B2E42"/>
                <w:sz w:val="17"/>
                <w:szCs w:val="17"/>
              </w:rPr>
              <w:t xml:space="preserve"> en saisissant le </w:t>
            </w:r>
            <w:r>
              <w:rPr>
                <w:rFonts w:ascii="Calibri" w:cs="Calibri" w:eastAsia="Calibri" w:hAnsi="Calibri"/>
                <w:b/>
                <w:bCs/>
                <w:color w:val="1B2E42"/>
                <w:sz w:val="17"/>
                <w:szCs w:val="17"/>
              </w:rPr>
              <w:t xml:space="preserve">montant réellement reçu</w:t>
            </w:r>
            <w:r>
              <w:rPr>
                <w:rFonts w:ascii="Calibri" w:cs="Calibri" w:eastAsia="Calibri" w:hAnsi="Calibri"/>
                <w:color w:val="1B2E42"/>
                <w:sz w:val="17"/>
                <w:szCs w:val="17"/>
              </w:rPr>
              <w:t xml:space="preserve">. C'est ce montant qui est crédité.</w:t>
            </w:r>
          </w:p>
        </w:tc>
      </w:tr>
      <w:tr>
        <w:tc>
          <w:tcPr>
            <w:tcW w:type="dxa" w:w="340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Aucun dépôt trouvé</w:t>
            </w:r>
          </w:p>
        </w:tc>
        <w:tc>
          <w:tcPr>
            <w:tcW w:type="dxa" w:w="59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Attendre — voir ci-dessous — puis rejeter avec un motif clair.</w:t>
            </w:r>
          </w:p>
        </w:tc>
      </w:tr>
      <w:tr>
        <w:tc>
          <w:tcPr>
            <w:tcW w:type="dxa" w:w="340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Doute sur l'émetteur</w:t>
            </w:r>
          </w:p>
        </w:tc>
        <w:tc>
          <w:tcPr>
            <w:tcW w:type="dxa" w:w="59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Appeler le client avant toute décision.</w:t>
            </w:r>
          </w:p>
        </w:tc>
      </w:tr>
    </w:tbl>
    <w:p>
      <w:pPr>
        <w:spacing w:after="20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tcW w:type="dxa" w:w="60"/>
            <w:shd w:fill="A81E1A" w:val="clear"/>
            <w:tcMar>
              <w:top w:type="dxa" w:w="0"/>
              <w:left w:type="dxa" w:w="0"/>
              <w:bottom w:type="dxa" w:w="0"/>
              <w:right w:type="dxa" w:w="0"/>
            </w:tcMar>
          </w:tcPr>
          <w:p>
            <w:pPr>
              <w:spacing w:after="0"/>
            </w:pPr>
            <w:r>
              <w:rPr>
                <w:sz w:val="2"/>
                <w:szCs w:val="2"/>
              </w:rPr>
              <w:t xml:space="preserve"/>
            </w:r>
          </w:p>
        </w:tc>
        <w:tc>
          <w:tcPr>
            <w:tcW w:type="dxa" w:w="9300"/>
            <w:shd w:fill="FCEBEA" w:val="clear"/>
            <w:tcMar>
              <w:top w:type="dxa" w:w="120"/>
              <w:left w:type="dxa" w:w="180"/>
              <w:bottom w:type="dxa" w:w="120"/>
              <w:right w:type="dxa" w:w="180"/>
            </w:tcMar>
          </w:tcPr>
          <w:p>
            <w:pPr>
              <w:spacing w:after="70"/>
            </w:pPr>
            <w:r>
              <w:rPr>
                <w:rFonts w:ascii="Calibri" w:cs="Calibri" w:eastAsia="Calibri" w:hAnsi="Calibri"/>
                <w:b/>
                <w:bCs/>
                <w:color w:val="A81E1A"/>
                <w:spacing w:val="20"/>
                <w:sz w:val="15"/>
                <w:szCs w:val="15"/>
              </w:rPr>
              <w:t xml:space="preserve">COMBIEN DE TEMPS ATTENDRE AVANT DE REJETER</w:t>
            </w:r>
          </w:p>
          <w:p>
            <w:pPr>
              <w:spacing w:after="60" w:line="264"/>
            </w:pPr>
            <w:r>
              <w:rPr>
                <w:rFonts w:ascii="Calibri" w:cs="Calibri" w:eastAsia="Calibri" w:hAnsi="Calibri"/>
                <w:color w:val="1B2E42"/>
                <w:sz w:val="20"/>
                <w:szCs w:val="20"/>
              </w:rPr>
              <w:t xml:space="preserve">Un dépôt mobile money peut mettre plusieurs minutes à apparaître. Ne jamais rejeter dans les 15 premières minutes.</w:t>
            </w:r>
          </w:p>
          <w:p>
            <w:pPr>
              <w:spacing w:after="60" w:line="264"/>
            </w:pPr>
            <w:r>
              <w:rPr>
                <w:rFonts w:ascii="Calibri" w:cs="Calibri" w:eastAsia="Calibri" w:hAnsi="Calibri"/>
                <w:color w:val="1B2E42"/>
                <w:sz w:val="20"/>
                <w:szCs w:val="20"/>
              </w:rPr>
              <w:t xml:space="preserve">Si le dépôt reste introuvable : laisser le versement passer « en vérification », le revoir au passage suivant, appeler le client après 24 h, et ne rejeter qu'ensuite.</w:t>
            </w:r>
          </w:p>
          <w:p>
            <w:pPr>
              <w:spacing w:after="0" w:line="264"/>
            </w:pPr>
            <w:r>
              <w:rPr>
                <w:rFonts w:ascii="Calibri" w:cs="Calibri" w:eastAsia="Calibri" w:hAnsi="Calibri"/>
                <w:b/>
                <w:bCs/>
                <w:color w:val="1B2E42"/>
                <w:sz w:val="20"/>
                <w:szCs w:val="20"/>
              </w:rPr>
              <w:t xml:space="preserve">Règle d'or : </w:t>
            </w:r>
            <w:r>
              <w:rPr>
                <w:rFonts w:ascii="Calibri" w:cs="Calibri" w:eastAsia="Calibri" w:hAnsi="Calibri"/>
                <w:color w:val="1B2E42"/>
                <w:sz w:val="20"/>
                <w:szCs w:val="20"/>
              </w:rPr>
              <w:t xml:space="preserve">un dépôt réellement effectué ne doit jamais être perdu.</w:t>
            </w:r>
          </w:p>
        </w:tc>
      </w:tr>
    </w:tbl>
    <w:p>
      <w:pPr>
        <w:spacing w:after="80" w:before="190"/>
      </w:pPr>
      <w:r>
        <w:rPr>
          <w:rFonts w:ascii="Calibri" w:cs="Calibri" w:eastAsia="Calibri" w:hAnsi="Calibri"/>
          <w:b/>
          <w:bCs/>
          <w:color w:val="1B2E42"/>
          <w:sz w:val="21"/>
          <w:szCs w:val="21"/>
        </w:rPr>
        <w:t xml:space="preserve">Rédiger un motif de rejet</w:t>
      </w:r>
    </w:p>
    <w:p>
      <w:pPr>
        <w:spacing w:after="110" w:line="264"/>
      </w:pPr>
      <w:r>
        <w:rPr>
          <w:rFonts w:ascii="Calibri" w:cs="Calibri" w:eastAsia="Calibri" w:hAnsi="Calibri"/>
          <w:color w:val="1B2E42"/>
          <w:sz w:val="20"/>
          <w:szCs w:val="20"/>
        </w:rPr>
        <w:t xml:space="preserve">Le motif est lu par le client dans sa notification. Il doit lui dire quoi faire, sans le braquer.</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rPr>
          <w:tblHeader/>
        </w:trPr>
        <w:tc>
          <w:tcPr>
            <w:tcW w:type="dxa" w:w="580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À écrire</w:t>
            </w:r>
          </w:p>
        </w:tc>
        <w:tc>
          <w:tcPr>
            <w:tcW w:type="dxa" w:w="356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À éviter</w:t>
            </w:r>
          </w:p>
        </w:tc>
      </w:tr>
      <w:tr>
        <w:tc>
          <w:tcPr>
            <w:tcW w:type="dxa" w:w="5800"/>
            <w:tcMar>
              <w:top w:type="dxa" w:w="80"/>
              <w:left w:type="dxa" w:w="130"/>
              <w:bottom w:type="dxa" w:w="80"/>
              <w:right w:type="dxa" w:w="130"/>
            </w:tcMar>
            <w:vAlign w:val="top"/>
          </w:tcPr>
          <w:p>
            <w:pPr>
              <w:spacing w:after="0" w:line="252"/>
            </w:pPr>
            <w:r>
              <w:rPr>
                <w:rFonts w:ascii="Calibri" w:cs="Calibri" w:eastAsia="Calibri" w:hAnsi="Calibri"/>
                <w:color w:val="17662F"/>
                <w:sz w:val="17"/>
                <w:szCs w:val="17"/>
              </w:rPr>
              <w:t xml:space="preserve">« Aucun dépôt reçu à ce numéro. Vérifiez que le transfert est bien parti, puis relancez. »</w:t>
            </w:r>
          </w:p>
        </w:tc>
        <w:tc>
          <w:tcPr>
            <w:tcW w:type="dxa" w:w="3560"/>
            <w:tcMar>
              <w:top w:type="dxa" w:w="80"/>
              <w:left w:type="dxa" w:w="130"/>
              <w:bottom w:type="dxa" w:w="80"/>
              <w:right w:type="dxa" w:w="130"/>
            </w:tcMar>
            <w:vAlign w:val="top"/>
          </w:tcPr>
          <w:p>
            <w:pPr>
              <w:spacing w:after="0" w:line="252"/>
            </w:pPr>
            <w:r>
              <w:rPr>
                <w:rFonts w:ascii="Calibri" w:cs="Calibri" w:eastAsia="Calibri" w:hAnsi="Calibri"/>
                <w:color w:val="A81E1A"/>
                <w:sz w:val="17"/>
                <w:szCs w:val="17"/>
              </w:rPr>
              <w:t xml:space="preserve">« rien »</w:t>
            </w:r>
          </w:p>
        </w:tc>
      </w:tr>
      <w:tr>
        <w:tc>
          <w:tcPr>
            <w:tcW w:type="dxa" w:w="5800"/>
            <w:tcMar>
              <w:top w:type="dxa" w:w="80"/>
              <w:left w:type="dxa" w:w="130"/>
              <w:bottom w:type="dxa" w:w="80"/>
              <w:right w:type="dxa" w:w="130"/>
            </w:tcMar>
            <w:vAlign w:val="top"/>
          </w:tcPr>
          <w:p>
            <w:pPr>
              <w:spacing w:after="0" w:line="252"/>
            </w:pPr>
            <w:r>
              <w:rPr>
                <w:rFonts w:ascii="Calibri" w:cs="Calibri" w:eastAsia="Calibri" w:hAnsi="Calibri"/>
                <w:color w:val="17662F"/>
                <w:sz w:val="17"/>
                <w:szCs w:val="17"/>
              </w:rPr>
              <w:t xml:space="preserve">« Dépôt introuvable pour ce montant. Contactez-nous au 90 00 00 00 avec votre reçu. »</w:t>
            </w:r>
          </w:p>
        </w:tc>
        <w:tc>
          <w:tcPr>
            <w:tcW w:type="dxa" w:w="3560"/>
            <w:tcMar>
              <w:top w:type="dxa" w:w="80"/>
              <w:left w:type="dxa" w:w="130"/>
              <w:bottom w:type="dxa" w:w="80"/>
              <w:right w:type="dxa" w:w="130"/>
            </w:tcMar>
            <w:vAlign w:val="top"/>
          </w:tcPr>
          <w:p>
            <w:pPr>
              <w:spacing w:after="0" w:line="252"/>
            </w:pPr>
            <w:r>
              <w:rPr>
                <w:rFonts w:ascii="Calibri" w:cs="Calibri" w:eastAsia="Calibri" w:hAnsi="Calibri"/>
                <w:color w:val="A81E1A"/>
                <w:sz w:val="17"/>
                <w:szCs w:val="17"/>
              </w:rPr>
              <w:t xml:space="preserve">« faux » · « erreur »</w:t>
            </w:r>
          </w:p>
        </w:tc>
      </w:tr>
    </w:tbl>
    <w:p>
      <w:pPr>
        <w:spacing w:after="20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tcW w:type="dxa" w:w="60"/>
            <w:shd w:fill="F2A900" w:val="clear"/>
            <w:tcMar>
              <w:top w:type="dxa" w:w="0"/>
              <w:left w:type="dxa" w:w="0"/>
              <w:bottom w:type="dxa" w:w="0"/>
              <w:right w:type="dxa" w:w="0"/>
            </w:tcMar>
          </w:tcPr>
          <w:p>
            <w:pPr>
              <w:spacing w:after="0"/>
            </w:pPr>
            <w:r>
              <w:rPr>
                <w:sz w:val="2"/>
                <w:szCs w:val="2"/>
              </w:rPr>
              <w:t xml:space="preserve"/>
            </w:r>
          </w:p>
        </w:tc>
        <w:tc>
          <w:tcPr>
            <w:tcW w:type="dxa" w:w="9300"/>
            <w:shd w:fill="FFF6E2" w:val="clear"/>
            <w:tcMar>
              <w:top w:type="dxa" w:w="120"/>
              <w:left w:type="dxa" w:w="180"/>
              <w:bottom w:type="dxa" w:w="120"/>
              <w:right w:type="dxa" w:w="180"/>
            </w:tcMar>
          </w:tcPr>
          <w:p>
            <w:pPr>
              <w:spacing w:after="70"/>
            </w:pPr>
            <w:r>
              <w:rPr>
                <w:rFonts w:ascii="Calibri" w:cs="Calibri" w:eastAsia="Calibri" w:hAnsi="Calibri"/>
                <w:b/>
                <w:bCs/>
                <w:color w:val="8A6100"/>
                <w:spacing w:val="20"/>
                <w:sz w:val="15"/>
                <w:szCs w:val="15"/>
              </w:rPr>
              <w:t xml:space="preserve">L'ONGLET « EN VÉRIFICATION » SE VIDE CHAQUE JOUR</w:t>
            </w:r>
          </w:p>
          <w:p>
            <w:pPr>
              <w:spacing w:after="0" w:line="264"/>
            </w:pPr>
            <w:r>
              <w:rPr>
                <w:rFonts w:ascii="Calibri" w:cs="Calibri" w:eastAsia="Calibri" w:hAnsi="Calibri"/>
                <w:color w:val="1B2E42"/>
                <w:sz w:val="20"/>
                <w:szCs w:val="20"/>
              </w:rPr>
              <w:t xml:space="preserve">Ce sont les versements dont le minuteur a expiré sans décision. C'est là que se logent les dépôts tardifs et les rapprochements difficiles. À traiter au moins une fois par jour.</w:t>
            </w:r>
          </w:p>
        </w:tc>
      </w:tr>
    </w:tbl>
    <w:p>
      <w:pPr>
        <w:spacing w:after="110" w:before="260"/>
      </w:pPr>
      <w:r>
        <w:rPr>
          <w:rFonts w:ascii="Cambria" w:cs="Cambria" w:eastAsia="Cambria" w:hAnsi="Cambria"/>
          <w:b/>
          <w:bCs/>
          <w:color w:val="003A70"/>
          <w:sz w:val="24"/>
          <w:szCs w:val="24"/>
        </w:rPr>
        <w:t xml:space="preserve">3.3  Gérer les achats et les livraisons</w:t>
      </w:r>
    </w:p>
    <w:p>
      <w:pPr>
        <w:spacing w:after="110" w:line="264"/>
      </w:pPr>
      <w:r>
        <w:rPr>
          <w:rFonts w:ascii="Calibri" w:cs="Calibri" w:eastAsia="Calibri" w:hAnsi="Calibri"/>
          <w:color w:val="1B2E42"/>
          <w:sz w:val="20"/>
          <w:szCs w:val="20"/>
        </w:rPr>
        <w:t xml:space="preserve">L'onglet « Achats » suit chaque achat de son ouverture à sa livraison, avec des filtres par état.</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État</w:t>
            </w:r>
          </w:p>
        </w:tc>
        <w:tc>
          <w:tcPr>
            <w:tcW w:type="dxa" w:w="646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Ce que fait l'équipe</w:t>
            </w:r>
          </w:p>
        </w:tc>
      </w:tr>
      <w:tr>
        <w:tc>
          <w:tcPr>
            <w:tcW w:type="dxa" w:w="2900"/>
            <w:tcMar>
              <w:top w:type="dxa" w:w="80"/>
              <w:left w:type="dxa" w:w="130"/>
              <w:bottom w:type="dxa" w:w="80"/>
              <w:right w:type="dxa" w:w="130"/>
            </w:tcMar>
            <w:vAlign w:val="top"/>
          </w:tcPr>
          <w:p>
            <w:pPr>
              <w:spacing w:after="0" w:line="252"/>
            </w:pPr>
            <w:r>
              <w:rPr>
                <w:rFonts w:ascii="Calibri" w:cs="Calibri" w:eastAsia="Calibri" w:hAnsi="Calibri"/>
                <w:b/>
                <w:bCs/>
                <w:color w:val="1B2E42"/>
                <w:sz w:val="17"/>
                <w:szCs w:val="17"/>
              </w:rPr>
              <w:t xml:space="preserve">En cours</w:t>
            </w:r>
          </w:p>
        </w:tc>
        <w:tc>
          <w:tcPr>
            <w:tcW w:type="dxa" w:w="64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Rien — le client verse à son rythme.</w:t>
            </w:r>
          </w:p>
        </w:tc>
      </w:tr>
      <w:tr>
        <w:tc>
          <w:tcPr>
            <w:tcW w:type="dxa" w:w="2900"/>
            <w:tcMar>
              <w:top w:type="dxa" w:w="80"/>
              <w:left w:type="dxa" w:w="130"/>
              <w:bottom w:type="dxa" w:w="80"/>
              <w:right w:type="dxa" w:w="130"/>
            </w:tcMar>
            <w:vAlign w:val="top"/>
          </w:tcPr>
          <w:p>
            <w:pPr>
              <w:spacing w:after="0" w:line="252"/>
            </w:pPr>
            <w:r>
              <w:rPr>
                <w:rFonts w:ascii="Calibri" w:cs="Calibri" w:eastAsia="Calibri" w:hAnsi="Calibri"/>
                <w:b/>
                <w:bCs/>
                <w:color w:val="17662F"/>
                <w:sz w:val="17"/>
                <w:szCs w:val="17"/>
              </w:rPr>
              <w:t xml:space="preserve">Complété</w:t>
            </w:r>
          </w:p>
        </w:tc>
        <w:tc>
          <w:tcPr>
            <w:tcW w:type="dxa" w:w="64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Contacter le partenaire, organiser la remise, puis marquer « en préparation ».</w:t>
            </w:r>
          </w:p>
        </w:tc>
      </w:tr>
      <w:tr>
        <w:tc>
          <w:tcPr>
            <w:tcW w:type="dxa" w:w="2900"/>
            <w:tcMar>
              <w:top w:type="dxa" w:w="80"/>
              <w:left w:type="dxa" w:w="130"/>
              <w:bottom w:type="dxa" w:w="80"/>
              <w:right w:type="dxa" w:w="130"/>
            </w:tcMar>
            <w:vAlign w:val="top"/>
          </w:tcPr>
          <w:p>
            <w:pPr>
              <w:spacing w:after="0" w:line="252"/>
            </w:pPr>
            <w:r>
              <w:rPr>
                <w:rFonts w:ascii="Calibri" w:cs="Calibri" w:eastAsia="Calibri" w:hAnsi="Calibri"/>
                <w:b/>
                <w:bCs/>
                <w:color w:val="1B2E42"/>
                <w:sz w:val="17"/>
                <w:szCs w:val="17"/>
              </w:rPr>
              <w:t xml:space="preserve">En préparation</w:t>
            </w:r>
          </w:p>
        </w:tc>
        <w:tc>
          <w:tcPr>
            <w:tcW w:type="dxa" w:w="64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Suivre la remise, puis marquer « livré » une fois le produit remis.</w:t>
            </w:r>
          </w:p>
        </w:tc>
      </w:tr>
      <w:tr>
        <w:tc>
          <w:tcPr>
            <w:tcW w:type="dxa" w:w="2900"/>
            <w:tcMar>
              <w:top w:type="dxa" w:w="80"/>
              <w:left w:type="dxa" w:w="130"/>
              <w:bottom w:type="dxa" w:w="80"/>
              <w:right w:type="dxa" w:w="130"/>
            </w:tcMar>
            <w:vAlign w:val="top"/>
          </w:tcPr>
          <w:p>
            <w:pPr>
              <w:spacing w:after="0" w:line="252"/>
            </w:pPr>
            <w:r>
              <w:rPr>
                <w:rFonts w:ascii="Calibri" w:cs="Calibri" w:eastAsia="Calibri" w:hAnsi="Calibri"/>
                <w:b/>
                <w:bCs/>
                <w:color w:val="A81E1A"/>
                <w:sz w:val="17"/>
                <w:szCs w:val="17"/>
              </w:rPr>
              <w:t xml:space="preserve">Demande d'annulation</w:t>
            </w:r>
          </w:p>
        </w:tc>
        <w:tc>
          <w:tcPr>
            <w:tcW w:type="dxa" w:w="64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Appeler le client, puis annuler et rembourser si confirmé.</w:t>
            </w:r>
          </w:p>
        </w:tc>
      </w:tr>
    </w:tbl>
    <w:p>
      <w:pPr>
        <w:spacing w:after="20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tcW w:type="dxa" w:w="60"/>
            <w:shd w:fill="A81E1A" w:val="clear"/>
            <w:tcMar>
              <w:top w:type="dxa" w:w="0"/>
              <w:left w:type="dxa" w:w="0"/>
              <w:bottom w:type="dxa" w:w="0"/>
              <w:right w:type="dxa" w:w="0"/>
            </w:tcMar>
          </w:tcPr>
          <w:p>
            <w:pPr>
              <w:spacing w:after="0"/>
            </w:pPr>
            <w:r>
              <w:rPr>
                <w:sz w:val="2"/>
                <w:szCs w:val="2"/>
              </w:rPr>
              <w:t xml:space="preserve"/>
            </w:r>
          </w:p>
        </w:tc>
        <w:tc>
          <w:tcPr>
            <w:tcW w:type="dxa" w:w="9300"/>
            <w:shd w:fill="FCEBEA" w:val="clear"/>
            <w:tcMar>
              <w:top w:type="dxa" w:w="120"/>
              <w:left w:type="dxa" w:w="180"/>
              <w:bottom w:type="dxa" w:w="120"/>
              <w:right w:type="dxa" w:w="180"/>
            </w:tcMar>
          </w:tcPr>
          <w:p>
            <w:pPr>
              <w:spacing w:after="70"/>
            </w:pPr>
            <w:r>
              <w:rPr>
                <w:rFonts w:ascii="Calibri" w:cs="Calibri" w:eastAsia="Calibri" w:hAnsi="Calibri"/>
                <w:b/>
                <w:bCs/>
                <w:color w:val="A81E1A"/>
                <w:spacing w:val="20"/>
                <w:sz w:val="15"/>
                <w:szCs w:val="15"/>
              </w:rPr>
              <w:t xml:space="preserve">LE REMBOURSEMENT</w:t>
            </w:r>
          </w:p>
          <w:p>
            <w:pPr>
              <w:spacing w:after="60" w:line="264"/>
            </w:pPr>
            <w:r>
              <w:rPr>
                <w:rFonts w:ascii="Calibri" w:cs="Calibri" w:eastAsia="Calibri" w:hAnsi="Calibri"/>
                <w:color w:val="1B2E42"/>
                <w:sz w:val="20"/>
                <w:szCs w:val="20"/>
              </w:rPr>
              <w:t xml:space="preserve">Il s'enregistre par une écriture d'ajustement, motivée et signée — jamais par une modification directe du solde. L'historique reste ainsi complet et vérifiable.</w:t>
            </w:r>
          </w:p>
          <w:p>
            <w:pPr>
              <w:spacing w:after="0" w:line="264"/>
            </w:pPr>
            <w:r>
              <w:rPr>
                <w:rFonts w:ascii="Calibri" w:cs="Calibri" w:eastAsia="Calibri" w:hAnsi="Calibri"/>
                <w:color w:val="1B2E42"/>
                <w:sz w:val="20"/>
                <w:szCs w:val="20"/>
              </w:rPr>
              <w:t xml:space="preserve">Tant que le taux de frais d'annulation n'est pas fixé et écrit dans les conditions générales, </w:t>
            </w:r>
            <w:r>
              <w:rPr>
                <w:rFonts w:ascii="Calibri" w:cs="Calibri" w:eastAsia="Calibri" w:hAnsi="Calibri"/>
                <w:b/>
                <w:bCs/>
                <w:color w:val="1B2E42"/>
                <w:sz w:val="20"/>
                <w:szCs w:val="20"/>
              </w:rPr>
              <w:t xml:space="preserve">rembourser intégralement</w:t>
            </w:r>
            <w:r>
              <w:rPr>
                <w:rFonts w:ascii="Calibri" w:cs="Calibri" w:eastAsia="Calibri" w:hAnsi="Calibri"/>
                <w:color w:val="1B2E42"/>
                <w:sz w:val="20"/>
                <w:szCs w:val="20"/>
              </w:rPr>
              <w:t xml:space="preserve"> : prélever des frais non annoncés serait déloyal et juridiquement fragile.</w:t>
            </w:r>
          </w:p>
        </w:tc>
      </w:tr>
    </w:tbl>
    <w:p>
      <w:pPr>
        <w:spacing w:after="110" w:before="260"/>
      </w:pPr>
      <w:r>
        <w:rPr>
          <w:rFonts w:ascii="Cambria" w:cs="Cambria" w:eastAsia="Cambria" w:hAnsi="Cambria"/>
          <w:b/>
          <w:bCs/>
          <w:color w:val="003A70"/>
          <w:sz w:val="24"/>
          <w:szCs w:val="24"/>
        </w:rPr>
        <w:t xml:space="preserve">3.4  Le catalogue et les partenaires</w:t>
      </w:r>
    </w:p>
    <w:p>
      <w:pPr>
        <w:spacing w:after="110" w:line="264"/>
      </w:pPr>
      <w:r>
        <w:rPr>
          <w:rFonts w:ascii="Calibri" w:cs="Calibri" w:eastAsia="Calibri" w:hAnsi="Calibri"/>
          <w:color w:val="1B2E42"/>
          <w:sz w:val="20"/>
          <w:szCs w:val="20"/>
        </w:rPr>
        <w:t xml:space="preserve">L'onglet « Catalogue » sert à créer les produits, les activer ou les désactiver, les mettre en avant, gérer les catégories et enregistrer les partenaires.</w:t>
      </w:r>
    </w:p>
    <w:p>
      <w:pPr>
        <w:spacing w:after="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tcW w:type="dxa" w:w="60"/>
            <w:shd w:fill="005CA9" w:val="clear"/>
            <w:tcMar>
              <w:top w:type="dxa" w:w="0"/>
              <w:left w:type="dxa" w:w="0"/>
              <w:bottom w:type="dxa" w:w="0"/>
              <w:right w:type="dxa" w:w="0"/>
            </w:tcMar>
          </w:tcPr>
          <w:p>
            <w:pPr>
              <w:spacing w:after="0"/>
            </w:pPr>
            <w:r>
              <w:rPr>
                <w:sz w:val="2"/>
                <w:szCs w:val="2"/>
              </w:rPr>
              <w:t xml:space="preserve"/>
            </w:r>
          </w:p>
        </w:tc>
        <w:tc>
          <w:tcPr>
            <w:tcW w:type="dxa" w:w="9300"/>
            <w:shd w:fill="F4F9FD" w:val="clear"/>
            <w:tcMar>
              <w:top w:type="dxa" w:w="120"/>
              <w:left w:type="dxa" w:w="180"/>
              <w:bottom w:type="dxa" w:w="120"/>
              <w:right w:type="dxa" w:w="180"/>
            </w:tcMar>
          </w:tcPr>
          <w:p>
            <w:pPr>
              <w:spacing w:after="70"/>
            </w:pPr>
            <w:r>
              <w:rPr>
                <w:rFonts w:ascii="Calibri" w:cs="Calibri" w:eastAsia="Calibri" w:hAnsi="Calibri"/>
                <w:b/>
                <w:bCs/>
                <w:color w:val="005CA9"/>
                <w:spacing w:val="20"/>
                <w:sz w:val="15"/>
                <w:szCs w:val="15"/>
              </w:rPr>
              <w:t xml:space="preserve">LE PRIX AFFICHÉ SE CALCULE TOUT SEUL</w:t>
            </w:r>
          </w:p>
          <w:p>
            <w:pPr>
              <w:spacing w:after="60" w:line="264"/>
            </w:pPr>
            <w:r>
              <w:rPr>
                <w:rFonts w:ascii="Calibri" w:cs="Calibri" w:eastAsia="Calibri" w:hAnsi="Calibri"/>
                <w:color w:val="1B2E42"/>
                <w:sz w:val="20"/>
                <w:szCs w:val="20"/>
              </w:rPr>
              <w:t xml:space="preserve">L'équipe ne saisit que le prix du vendeur. La plateforme y ajoute la commission et arrondit aux 5 F supérieurs. Un produit à 640 000 F chez le vendeur sera affiché 672 000 F.</w:t>
            </w:r>
          </w:p>
          <w:p>
            <w:pPr>
              <w:spacing w:after="0" w:line="264"/>
            </w:pPr>
            <w:r>
              <w:rPr>
                <w:rFonts w:ascii="Calibri" w:cs="Calibri" w:eastAsia="Calibri" w:hAnsi="Calibri"/>
                <w:color w:val="1B2E42"/>
                <w:sz w:val="20"/>
                <w:szCs w:val="20"/>
              </w:rPr>
              <w:t xml:space="preserve">Cela évite toute erreur de calcul, et garantit que la règle est appliquée de la même façon partout.</w:t>
            </w:r>
          </w:p>
        </w:tc>
      </w:tr>
    </w:tbl>
    <w:p>
      <w:pPr>
        <w:spacing w:after="140"/>
      </w:pPr>
      <w:r>
        <w:rPr>
          <w:sz w:val="2"/>
          <w:szCs w:val="2"/>
        </w:rPr>
        <w:t xml:space="preserve"/>
      </w:r>
    </w:p>
    <w:p>
      <w:pPr>
        <w:spacing w:after="80" w:before="190"/>
      </w:pPr>
      <w:r>
        <w:rPr>
          <w:rFonts w:ascii="Calibri" w:cs="Calibri" w:eastAsia="Calibri" w:hAnsi="Calibri"/>
          <w:b/>
          <w:bCs/>
          <w:color w:val="1B2E42"/>
          <w:sz w:val="21"/>
          <w:szCs w:val="21"/>
        </w:rPr>
        <w:t xml:space="preserve">Les photos d'un produit</w:t>
      </w:r>
    </w:p>
    <w:p>
      <w:pPr>
        <w:spacing w:after="110" w:line="264"/>
      </w:pPr>
      <w:r>
        <w:rPr>
          <w:rFonts w:ascii="Calibri" w:cs="Calibri" w:eastAsia="Calibri" w:hAnsi="Calibri"/>
          <w:color w:val="1B2E42"/>
          <w:sz w:val="20"/>
          <w:szCs w:val="20"/>
        </w:rPr>
        <w:t xml:space="preserve">Chaque ligne du catalogue porte une vignette à gauche. Cliquez dessus — ou sur le bouton « Photos » — pour ouvrir la gestion des images.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tcMar>
              <w:top w:type="dxa" w:w="40"/>
              <w:left w:type="dxa" w:w="0"/>
              <w:bottom w:type="dxa" w:w="40"/>
              <w:right w:type="dxa" w:w="100"/>
            </w:tcMar>
          </w:tcPr>
          <w:p>
            <w:pPr>
              <w:spacing w:after="0"/>
              <w:jc w:val="center"/>
            </w:pPr>
            <w:r>
              <w:rPr>
                <w:rFonts w:ascii="Calibri" w:cs="Calibri" w:eastAsia="Calibri" w:hAnsi="Calibri"/>
                <w:b/>
                <w:bCs/>
                <w:color w:val="005CA9"/>
                <w:sz w:val="20"/>
                <w:szCs w:val="20"/>
              </w:rPr>
              <w:t xml:space="preserve">1</w:t>
            </w:r>
          </w:p>
        </w:tc>
        <w:tc>
          <w:tcPr>
            <w:tcW w:type="dxa" w:w="8840"/>
            <w:tcMar>
              <w:top w:type="dxa" w:w="40"/>
              <w:left w:type="dxa" w:w="0"/>
              <w:bottom w:type="dxa" w:w="90"/>
              <w:right w:type="dxa" w:w="0"/>
            </w:tcMar>
          </w:tcPr>
          <w:p>
            <w:pPr>
              <w:spacing w:after="0" w:line="264"/>
            </w:pPr>
            <w:r>
              <w:rPr>
                <w:rFonts w:ascii="Calibri" w:cs="Calibri" w:eastAsia="Calibri" w:hAnsi="Calibri"/>
                <w:color w:val="1B2E42"/>
                <w:sz w:val="20"/>
                <w:szCs w:val="20"/>
              </w:rPr>
              <w:t xml:space="preserve">Glissez une photo dans le cadre, ou cliquez pour la choisir sur l'ordinateur.</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tcMar>
              <w:top w:type="dxa" w:w="40"/>
              <w:left w:type="dxa" w:w="0"/>
              <w:bottom w:type="dxa" w:w="40"/>
              <w:right w:type="dxa" w:w="100"/>
            </w:tcMar>
          </w:tcPr>
          <w:p>
            <w:pPr>
              <w:spacing w:after="0"/>
              <w:jc w:val="center"/>
            </w:pPr>
            <w:r>
              <w:rPr>
                <w:rFonts w:ascii="Calibri" w:cs="Calibri" w:eastAsia="Calibri" w:hAnsi="Calibri"/>
                <w:b/>
                <w:bCs/>
                <w:color w:val="005CA9"/>
                <w:sz w:val="20"/>
                <w:szCs w:val="20"/>
              </w:rPr>
              <w:t xml:space="preserve">2</w:t>
            </w:r>
          </w:p>
        </w:tc>
        <w:tc>
          <w:tcPr>
            <w:tcW w:type="dxa" w:w="8840"/>
            <w:tcMar>
              <w:top w:type="dxa" w:w="40"/>
              <w:left w:type="dxa" w:w="0"/>
              <w:bottom w:type="dxa" w:w="90"/>
              <w:right w:type="dxa" w:w="0"/>
            </w:tcMar>
          </w:tcPr>
          <w:p>
            <w:pPr>
              <w:spacing w:after="0" w:line="264"/>
            </w:pPr>
            <w:r>
              <w:rPr>
                <w:rFonts w:ascii="Calibri" w:cs="Calibri" w:eastAsia="Calibri" w:hAnsi="Calibri"/>
                <w:color w:val="1B2E42"/>
                <w:sz w:val="20"/>
                <w:szCs w:val="20"/>
              </w:rPr>
              <w:t xml:space="preserve">Elle est </w:t>
            </w:r>
            <w:r>
              <w:rPr>
                <w:rFonts w:ascii="Calibri" w:cs="Calibri" w:eastAsia="Calibri" w:hAnsi="Calibri"/>
                <w:b/>
                <w:bCs/>
                <w:color w:val="1B2E42"/>
                <w:sz w:val="20"/>
                <w:szCs w:val="20"/>
              </w:rPr>
              <w:t xml:space="preserve">réduite automatiquement</w:t>
            </w:r>
            <w:r>
              <w:rPr>
                <w:rFonts w:ascii="Calibri" w:cs="Calibri" w:eastAsia="Calibri" w:hAnsi="Calibri"/>
                <w:color w:val="1B2E42"/>
                <w:sz w:val="20"/>
                <w:szCs w:val="20"/>
              </w:rPr>
              <w:t xml:space="preserve"> : n'hésitez pas à envoyer la photo telle qu'elle sort de l'appareil, même très lourde.</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tcMar>
              <w:top w:type="dxa" w:w="40"/>
              <w:left w:type="dxa" w:w="0"/>
              <w:bottom w:type="dxa" w:w="40"/>
              <w:right w:type="dxa" w:w="100"/>
            </w:tcMar>
          </w:tcPr>
          <w:p>
            <w:pPr>
              <w:spacing w:after="0"/>
              <w:jc w:val="center"/>
            </w:pPr>
            <w:r>
              <w:rPr>
                <w:rFonts w:ascii="Calibri" w:cs="Calibri" w:eastAsia="Calibri" w:hAnsi="Calibri"/>
                <w:b/>
                <w:bCs/>
                <w:color w:val="005CA9"/>
                <w:sz w:val="20"/>
                <w:szCs w:val="20"/>
              </w:rPr>
              <w:t xml:space="preserve">3</w:t>
            </w:r>
          </w:p>
        </w:tc>
        <w:tc>
          <w:tcPr>
            <w:tcW w:type="dxa" w:w="8840"/>
            <w:tcMar>
              <w:top w:type="dxa" w:w="40"/>
              <w:left w:type="dxa" w:w="0"/>
              <w:bottom w:type="dxa" w:w="90"/>
              <w:right w:type="dxa" w:w="0"/>
            </w:tcMar>
          </w:tcPr>
          <w:p>
            <w:pPr>
              <w:spacing w:after="0" w:line="264"/>
            </w:pPr>
            <w:r>
              <w:rPr>
                <w:rFonts w:ascii="Calibri" w:cs="Calibri" w:eastAsia="Calibri" w:hAnsi="Calibri"/>
                <w:color w:val="1B2E42"/>
                <w:sz w:val="20"/>
                <w:szCs w:val="20"/>
              </w:rPr>
              <w:t xml:space="preserve">La première photo de la liste est celle qui s'affiche partout. Pour en changer, cliquez « Mettre en tête » sur une autre.</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20"/>
        <w:gridCol w:w="8840"/>
      </w:tblGrid>
      <w:tr>
        <w:tc>
          <w:tcPr>
            <w:tcW w:type="dxa" w:w="520"/>
            <w:tcMar>
              <w:top w:type="dxa" w:w="40"/>
              <w:left w:type="dxa" w:w="0"/>
              <w:bottom w:type="dxa" w:w="40"/>
              <w:right w:type="dxa" w:w="100"/>
            </w:tcMar>
          </w:tcPr>
          <w:p>
            <w:pPr>
              <w:spacing w:after="0"/>
              <w:jc w:val="center"/>
            </w:pPr>
            <w:r>
              <w:rPr>
                <w:rFonts w:ascii="Calibri" w:cs="Calibri" w:eastAsia="Calibri" w:hAnsi="Calibri"/>
                <w:b/>
                <w:bCs/>
                <w:color w:val="005CA9"/>
                <w:sz w:val="20"/>
                <w:szCs w:val="20"/>
              </w:rPr>
              <w:t xml:space="preserve">4</w:t>
            </w:r>
          </w:p>
        </w:tc>
        <w:tc>
          <w:tcPr>
            <w:tcW w:type="dxa" w:w="8840"/>
            <w:tcMar>
              <w:top w:type="dxa" w:w="40"/>
              <w:left w:type="dxa" w:w="0"/>
              <w:bottom w:type="dxa" w:w="90"/>
              <w:right w:type="dxa" w:w="0"/>
            </w:tcMar>
          </w:tcPr>
          <w:p>
            <w:pPr>
              <w:spacing w:after="0" w:line="264"/>
            </w:pPr>
            <w:r>
              <w:rPr>
                <w:rFonts w:ascii="Calibri" w:cs="Calibri" w:eastAsia="Calibri" w:hAnsi="Calibri"/>
                <w:color w:val="1B2E42"/>
                <w:sz w:val="20"/>
                <w:szCs w:val="20"/>
              </w:rPr>
              <w:t xml:space="preserve">Cinq photos au maximum par produit. « Retirer » en supprime une définitivement.</w:t>
            </w:r>
          </w:p>
        </w:tc>
      </w:tr>
    </w:tbl>
    <w:p>
      <w:pPr>
        <w:spacing w:after="10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tcW w:type="dxa" w:w="60"/>
            <w:shd w:fill="F2A900" w:val="clear"/>
            <w:tcMar>
              <w:top w:type="dxa" w:w="0"/>
              <w:left w:type="dxa" w:w="0"/>
              <w:bottom w:type="dxa" w:w="0"/>
              <w:right w:type="dxa" w:w="0"/>
            </w:tcMar>
          </w:tcPr>
          <w:p>
            <w:pPr>
              <w:spacing w:after="0"/>
            </w:pPr>
            <w:r>
              <w:rPr>
                <w:sz w:val="2"/>
                <w:szCs w:val="2"/>
              </w:rPr>
              <w:t xml:space="preserve"/>
            </w:r>
          </w:p>
        </w:tc>
        <w:tc>
          <w:tcPr>
            <w:tcW w:type="dxa" w:w="9300"/>
            <w:shd w:fill="FFF6E2" w:val="clear"/>
            <w:tcMar>
              <w:top w:type="dxa" w:w="120"/>
              <w:left w:type="dxa" w:w="180"/>
              <w:bottom w:type="dxa" w:w="120"/>
              <w:right w:type="dxa" w:w="180"/>
            </w:tcMar>
          </w:tcPr>
          <w:p>
            <w:pPr>
              <w:spacing w:after="70"/>
            </w:pPr>
            <w:r>
              <w:rPr>
                <w:rFonts w:ascii="Calibri" w:cs="Calibri" w:eastAsia="Calibri" w:hAnsi="Calibri"/>
                <w:b/>
                <w:bCs/>
                <w:color w:val="8A6100"/>
                <w:spacing w:val="20"/>
                <w:sz w:val="15"/>
                <w:szCs w:val="15"/>
              </w:rPr>
              <w:t xml:space="preserve">POURQUOI LES PHOTOS SONT RÉDUITES</w:t>
            </w:r>
          </w:p>
          <w:p>
            <w:pPr>
              <w:spacing w:after="60" w:line="264"/>
            </w:pPr>
            <w:r>
              <w:rPr>
                <w:rFonts w:ascii="Calibri" w:cs="Calibri" w:eastAsia="Calibri" w:hAnsi="Calibri"/>
                <w:color w:val="1B2E42"/>
                <w:sz w:val="20"/>
                <w:szCs w:val="20"/>
              </w:rPr>
              <w:t xml:space="preserve">Vos clients consultent le catalogue sur un forfait payé au mégaoctet, souvent en 3G. Une photo de téléphone pèse plusieurs mégaoctets ; vingt d'entre elles et la consultation coûterait plus cher que le produit. La plateforme en conserve deux versions allégées et jette l'originale.</w:t>
            </w:r>
          </w:p>
          <w:p>
            <w:pPr>
              <w:spacing w:after="0" w:line="264"/>
            </w:pPr>
            <w:r>
              <w:rPr>
                <w:rFonts w:ascii="Calibri" w:cs="Calibri" w:eastAsia="Calibri" w:hAnsi="Calibri"/>
                <w:color w:val="1B2E42"/>
                <w:sz w:val="20"/>
                <w:szCs w:val="20"/>
              </w:rPr>
              <w:t xml:space="preserve">Les données de localisation contenues dans le fichier sont effacées au passage : une photo prise en boutique porte souvent ses coordonnées GPS.</w:t>
            </w:r>
          </w:p>
        </w:tc>
      </w:tr>
    </w:tbl>
    <w:p>
      <w:pPr>
        <w:spacing w:after="140"/>
      </w:pPr>
      <w:r>
        <w:rPr>
          <w:sz w:val="2"/>
          <w:szCs w:val="2"/>
        </w:rPr>
        <w:t xml:space="preserve"/>
      </w:r>
    </w:p>
    <w:p>
      <w:pPr>
        <w:spacing w:after="110" w:line="264"/>
      </w:pPr>
      <w:r>
        <w:rPr>
          <w:rFonts w:ascii="Calibri" w:cs="Calibri" w:eastAsia="Calibri" w:hAnsi="Calibri"/>
          <w:color w:val="1B2E42"/>
          <w:sz w:val="20"/>
          <w:szCs w:val="20"/>
        </w:rPr>
        <w:t xml:space="preserve">Les partenaires sont créés par l'équipe, sur vérification — il n'existe pas d'inscription libre. Un compte de connexion peut leur être ouvert au passage.</w:t>
      </w:r>
    </w:p>
    <w:p>
      <w:pPr>
        <w:spacing w:after="110" w:before="260"/>
      </w:pPr>
      <w:r>
        <w:rPr>
          <w:rFonts w:ascii="Cambria" w:cs="Cambria" w:eastAsia="Cambria" w:hAnsi="Cambria"/>
          <w:b/>
          <w:bCs/>
          <w:color w:val="003A70"/>
          <w:sz w:val="24"/>
          <w:szCs w:val="24"/>
        </w:rPr>
        <w:t xml:space="preserve">3.5  Les utilisateurs</w:t>
      </w:r>
    </w:p>
    <w:p>
      <w:pPr>
        <w:spacing w:after="110" w:line="264"/>
      </w:pPr>
      <w:r>
        <w:rPr>
          <w:rFonts w:ascii="Calibri" w:cs="Calibri" w:eastAsia="Calibri" w:hAnsi="Calibri"/>
          <w:color w:val="1B2E42"/>
          <w:sz w:val="20"/>
          <w:szCs w:val="20"/>
        </w:rPr>
        <w:t xml:space="preserve">Recherche par nom ou par numéro, consultation, et suspension d'un compte en cas de fraude ou de litige. Une suspension prend effet immédiatement, mais ne détruit rien : la situation peut être régularisée.</w:t>
      </w:r>
    </w:p>
    <w:p>
      <w:pPr>
        <w:spacing w:after="110" w:before="260"/>
      </w:pPr>
      <w:r>
        <w:rPr>
          <w:rFonts w:ascii="Cambria" w:cs="Cambria" w:eastAsia="Cambria" w:hAnsi="Cambria"/>
          <w:b/>
          <w:bCs/>
          <w:color w:val="003A70"/>
          <w:sz w:val="24"/>
          <w:szCs w:val="24"/>
        </w:rPr>
        <w:t xml:space="preserve">3.6  Paramètres, campagnes et journal d'audit</w:t>
      </w:r>
    </w:p>
    <w:p>
      <w:pPr>
        <w:pStyle w:val="ListParagraph"/>
        <w:numPr>
          <w:ilvl w:val="0"/>
          <w:numId w:val="1"/>
        </w:numPr>
        <w:spacing w:after="60" w:line="264"/>
      </w:pPr>
      <w:r>
        <w:rPr>
          <w:rFonts w:ascii="Calibri" w:cs="Calibri" w:eastAsia="Calibri" w:hAnsi="Calibri"/>
          <w:b/>
          <w:bCs/>
          <w:color w:val="1B2E42"/>
          <w:sz w:val="20"/>
          <w:szCs w:val="20"/>
        </w:rPr>
        <w:t xml:space="preserve">Paramètres</w:t>
      </w:r>
      <w:r>
        <w:rPr>
          <w:rFonts w:ascii="Calibri" w:cs="Calibri" w:eastAsia="Calibri" w:hAnsi="Calibri"/>
          <w:color w:val="1B2E42"/>
          <w:sz w:val="20"/>
          <w:szCs w:val="20"/>
        </w:rPr>
        <w:t xml:space="preserve"> — numéros de dépôt par opérateur, taux de commission, versement minimum, durée du minuteur. Modifiables par le super-administrateur uniquement, et chaque changement est tracé.</w:t>
      </w:r>
    </w:p>
    <w:p>
      <w:pPr>
        <w:pStyle w:val="ListParagraph"/>
        <w:numPr>
          <w:ilvl w:val="0"/>
          <w:numId w:val="1"/>
        </w:numPr>
        <w:spacing w:after="60" w:line="264"/>
      </w:pPr>
      <w:r>
        <w:rPr>
          <w:rFonts w:ascii="Calibri" w:cs="Calibri" w:eastAsia="Calibri" w:hAnsi="Calibri"/>
          <w:b/>
          <w:bCs/>
          <w:color w:val="1B2E42"/>
          <w:sz w:val="20"/>
          <w:szCs w:val="20"/>
        </w:rPr>
        <w:t xml:space="preserve">Campagnes</w:t>
      </w:r>
      <w:r>
        <w:rPr>
          <w:rFonts w:ascii="Calibri" w:cs="Calibri" w:eastAsia="Calibri" w:hAnsi="Calibri"/>
          <w:color w:val="1B2E42"/>
          <w:sz w:val="20"/>
          <w:szCs w:val="20"/>
        </w:rPr>
        <w:t xml:space="preserve"> — envoyer une notification à tous les clients, ou seulement à ceux qui ont un achat en cours. C'est l'outil d'encouragement au versement régulier.</w:t>
      </w:r>
    </w:p>
    <w:p>
      <w:pPr>
        <w:pStyle w:val="ListParagraph"/>
        <w:numPr>
          <w:ilvl w:val="0"/>
          <w:numId w:val="1"/>
        </w:numPr>
        <w:spacing w:after="60" w:line="264"/>
      </w:pPr>
      <w:r>
        <w:rPr>
          <w:rFonts w:ascii="Calibri" w:cs="Calibri" w:eastAsia="Calibri" w:hAnsi="Calibri"/>
          <w:b/>
          <w:bCs/>
          <w:color w:val="1B2E42"/>
          <w:sz w:val="20"/>
          <w:szCs w:val="20"/>
        </w:rPr>
        <w:t xml:space="preserve">Journal d'audit</w:t>
      </w:r>
      <w:r>
        <w:rPr>
          <w:rFonts w:ascii="Calibri" w:cs="Calibri" w:eastAsia="Calibri" w:hAnsi="Calibri"/>
          <w:color w:val="1B2E42"/>
          <w:sz w:val="20"/>
          <w:szCs w:val="20"/>
        </w:rPr>
        <w:t xml:space="preserve"> — la trace de toutes les actions sensibles : validations, rejets, remboursements, suspensions, changements de paramètres. Réservé au super-administrateur.</w:t>
      </w:r>
    </w:p>
    <w:p>
      <w:pPr>
        <w:spacing w:after="8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tcW w:type="dxa" w:w="60"/>
            <w:shd w:fill="17662F" w:val="clear"/>
            <w:tcMar>
              <w:top w:type="dxa" w:w="0"/>
              <w:left w:type="dxa" w:w="0"/>
              <w:bottom w:type="dxa" w:w="0"/>
              <w:right w:type="dxa" w:w="0"/>
            </w:tcMar>
          </w:tcPr>
          <w:p>
            <w:pPr>
              <w:spacing w:after="0"/>
            </w:pPr>
            <w:r>
              <w:rPr>
                <w:sz w:val="2"/>
                <w:szCs w:val="2"/>
              </w:rPr>
              <w:t xml:space="preserve"/>
            </w:r>
          </w:p>
        </w:tc>
        <w:tc>
          <w:tcPr>
            <w:tcW w:type="dxa" w:w="9300"/>
            <w:shd w:fill="E6F4EA" w:val="clear"/>
            <w:tcMar>
              <w:top w:type="dxa" w:w="120"/>
              <w:left w:type="dxa" w:w="180"/>
              <w:bottom w:type="dxa" w:w="120"/>
              <w:right w:type="dxa" w:w="180"/>
            </w:tcMar>
          </w:tcPr>
          <w:p>
            <w:pPr>
              <w:spacing w:after="70"/>
            </w:pPr>
            <w:r>
              <w:rPr>
                <w:rFonts w:ascii="Calibri" w:cs="Calibri" w:eastAsia="Calibri" w:hAnsi="Calibri"/>
                <w:b/>
                <w:bCs/>
                <w:color w:val="17662F"/>
                <w:spacing w:val="20"/>
                <w:sz w:val="15"/>
                <w:szCs w:val="15"/>
              </w:rPr>
              <w:t xml:space="preserve">LE RAPPROCHEMENT MENSUEL</w:t>
            </w:r>
          </w:p>
          <w:p>
            <w:pPr>
              <w:spacing w:after="0" w:line="264"/>
            </w:pPr>
            <w:r>
              <w:rPr>
                <w:rFonts w:ascii="Calibri" w:cs="Calibri" w:eastAsia="Calibri" w:hAnsi="Calibri"/>
                <w:color w:val="1B2E42"/>
                <w:sz w:val="20"/>
                <w:szCs w:val="20"/>
              </w:rPr>
              <w:t xml:space="preserve">Une fois par mois, comparer le total encaissé selon la plateforme avec les relevés des trois comptes mobile money. Tout écart doit être expliqué ligne à ligne : c'est le contrôle qui détecte les erreurs de validation et les dépôts non déclarés.</w:t>
            </w:r>
          </w:p>
        </w:tc>
      </w:tr>
    </w:tbl>
    <w:p>
      <w:pPr>
        <w:pageBreakBefore/>
        <w:pBdr>
          <w:bottom w:val="single" w:color="005CA9" w:sz="10" w:space="6"/>
        </w:pBdr>
        <w:spacing w:after="200" w:before="0"/>
      </w:pPr>
      <w:r>
        <w:rPr>
          <w:rFonts w:ascii="Cambria" w:cs="Cambria" w:eastAsia="Cambria" w:hAnsi="Cambria"/>
          <w:b/>
          <w:bCs/>
          <w:color w:val="003A70"/>
          <w:sz w:val="30"/>
          <w:szCs w:val="30"/>
        </w:rPr>
        <w:t xml:space="preserve">4.  Le partenaire — l'espace vendeur</w:t>
      </w:r>
    </w:p>
    <w:p>
      <w:pPr>
        <w:spacing w:after="110" w:line="264"/>
      </w:pPr>
      <w:r>
        <w:rPr>
          <w:rFonts w:ascii="Calibri" w:cs="Calibri" w:eastAsia="Calibri" w:hAnsi="Calibri"/>
          <w:color w:val="1B2E42"/>
          <w:sz w:val="20"/>
          <w:szCs w:val="20"/>
        </w:rPr>
        <w:t xml:space="preserve">Chaque vendeur partenaire dispose d'un espace en ligne, dans un navigateur. Il y suit ses produits et ses commandes.</w:t>
      </w:r>
    </w:p>
    <w:p>
      <w:pPr>
        <w:spacing w:after="110" w:before="260"/>
      </w:pPr>
      <w:r>
        <w:rPr>
          <w:rFonts w:ascii="Cambria" w:cs="Cambria" w:eastAsia="Cambria" w:hAnsi="Cambria"/>
          <w:b/>
          <w:bCs/>
          <w:color w:val="003A70"/>
          <w:sz w:val="24"/>
          <w:szCs w:val="24"/>
        </w:rPr>
        <w:t xml:space="preserve">4.1  Se connecter</w:t>
      </w:r>
    </w:p>
    <w:p>
      <w:pPr>
        <w:spacing w:after="110" w:line="264"/>
      </w:pPr>
      <w:r>
        <w:rPr>
          <w:rFonts w:ascii="Calibri" w:cs="Calibri" w:eastAsia="Calibri" w:hAnsi="Calibri"/>
          <w:color w:val="1B2E42"/>
          <w:sz w:val="20"/>
          <w:szCs w:val="20"/>
        </w:rPr>
        <w:t xml:space="preserve">Avec le numéro de téléphone et le mot de passe fournis par l'équipe Kayna Kayna Pay à l'ouverture du compte. Il n'y a pas d'inscription libre : les partenaires sont vérifiés avant d'entrer au catalogue.</w:t>
      </w:r>
    </w:p>
    <w:p>
      <w:pPr>
        <w:spacing w:after="110" w:before="260"/>
      </w:pPr>
      <w:r>
        <w:rPr>
          <w:rFonts w:ascii="Cambria" w:cs="Cambria" w:eastAsia="Cambria" w:hAnsi="Cambria"/>
          <w:b/>
          <w:bCs/>
          <w:color w:val="003A70"/>
          <w:sz w:val="24"/>
          <w:szCs w:val="24"/>
        </w:rPr>
        <w:t xml:space="preserve">4.2  Le tableau de bord</w:t>
      </w:r>
    </w:p>
    <w:p>
      <w:pPr>
        <w:spacing w:after="110" w:line="264"/>
      </w:pPr>
      <w:r>
        <w:rPr>
          <w:rFonts w:ascii="Calibri" w:cs="Calibri" w:eastAsia="Calibri" w:hAnsi="Calibri"/>
          <w:color w:val="1B2E42"/>
          <w:sz w:val="20"/>
          <w:szCs w:val="20"/>
        </w:rPr>
        <w:t xml:space="preserve">Quatre indicateurs, mis à jour en continu :</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Indicateur</w:t>
            </w:r>
          </w:p>
        </w:tc>
        <w:tc>
          <w:tcPr>
            <w:tcW w:type="dxa" w:w="646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Ce qu'il montre</w:t>
            </w:r>
          </w:p>
        </w:tc>
      </w:tr>
      <w:tr>
        <w:tc>
          <w:tcPr>
            <w:tcW w:type="dxa" w:w="2900"/>
            <w:tcMar>
              <w:top w:type="dxa" w:w="80"/>
              <w:left w:type="dxa" w:w="130"/>
              <w:bottom w:type="dxa" w:w="80"/>
              <w:right w:type="dxa" w:w="130"/>
            </w:tcMar>
            <w:vAlign w:val="top"/>
          </w:tcPr>
          <w:p>
            <w:pPr>
              <w:spacing w:after="0" w:line="252"/>
            </w:pPr>
            <w:r>
              <w:rPr>
                <w:rFonts w:ascii="Calibri" w:cs="Calibri" w:eastAsia="Calibri" w:hAnsi="Calibri"/>
                <w:b/>
                <w:bCs/>
                <w:color w:val="1B2E42"/>
                <w:sz w:val="17"/>
                <w:szCs w:val="17"/>
              </w:rPr>
              <w:t xml:space="preserve">Achats en cours</w:t>
            </w:r>
          </w:p>
        </w:tc>
        <w:tc>
          <w:tcPr>
            <w:tcW w:type="dxa" w:w="64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Combien de clients sont en train de payer un de vos produits.</w:t>
            </w:r>
          </w:p>
        </w:tc>
      </w:tr>
      <w:tr>
        <w:tc>
          <w:tcPr>
            <w:tcW w:type="dxa" w:w="2900"/>
            <w:tcMar>
              <w:top w:type="dxa" w:w="80"/>
              <w:left w:type="dxa" w:w="130"/>
              <w:bottom w:type="dxa" w:w="80"/>
              <w:right w:type="dxa" w:w="130"/>
            </w:tcMar>
            <w:vAlign w:val="top"/>
          </w:tcPr>
          <w:p>
            <w:pPr>
              <w:spacing w:after="0" w:line="252"/>
            </w:pPr>
            <w:r>
              <w:rPr>
                <w:rFonts w:ascii="Calibri" w:cs="Calibri" w:eastAsia="Calibri" w:hAnsi="Calibri"/>
                <w:b/>
                <w:bCs/>
                <w:color w:val="1B2E42"/>
                <w:sz w:val="17"/>
                <w:szCs w:val="17"/>
              </w:rPr>
              <w:t xml:space="preserve">Déjà versé</w:t>
            </w:r>
          </w:p>
        </w:tc>
        <w:tc>
          <w:tcPr>
            <w:tcW w:type="dxa" w:w="64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La somme que ces clients ont déjà déposée, et le total qu'ils doivent atteindre.</w:t>
            </w:r>
          </w:p>
        </w:tc>
      </w:tr>
      <w:tr>
        <w:tc>
          <w:tcPr>
            <w:tcW w:type="dxa" w:w="2900"/>
            <w:tcMar>
              <w:top w:type="dxa" w:w="80"/>
              <w:left w:type="dxa" w:w="130"/>
              <w:bottom w:type="dxa" w:w="80"/>
              <w:right w:type="dxa" w:w="130"/>
            </w:tcMar>
            <w:vAlign w:val="top"/>
          </w:tcPr>
          <w:p>
            <w:pPr>
              <w:spacing w:after="0" w:line="252"/>
            </w:pPr>
            <w:r>
              <w:rPr>
                <w:rFonts w:ascii="Calibri" w:cs="Calibri" w:eastAsia="Calibri" w:hAnsi="Calibri"/>
                <w:b/>
                <w:bCs/>
                <w:color w:val="1B2E42"/>
                <w:sz w:val="17"/>
                <w:szCs w:val="17"/>
              </w:rPr>
              <w:t xml:space="preserve">Commandes à préparer</w:t>
            </w:r>
          </w:p>
        </w:tc>
        <w:tc>
          <w:tcPr>
            <w:tcW w:type="dxa" w:w="64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Les achats entièrement payés, en attente de remise.</w:t>
            </w:r>
          </w:p>
        </w:tc>
      </w:tr>
      <w:tr>
        <w:tc>
          <w:tcPr>
            <w:tcW w:type="dxa" w:w="2900"/>
            <w:tcMar>
              <w:top w:type="dxa" w:w="80"/>
              <w:left w:type="dxa" w:w="130"/>
              <w:bottom w:type="dxa" w:w="80"/>
              <w:right w:type="dxa" w:w="130"/>
            </w:tcMar>
            <w:vAlign w:val="top"/>
          </w:tcPr>
          <w:p>
            <w:pPr>
              <w:spacing w:after="0" w:line="252"/>
            </w:pPr>
            <w:r>
              <w:rPr>
                <w:rFonts w:ascii="Calibri" w:cs="Calibri" w:eastAsia="Calibri" w:hAnsi="Calibri"/>
                <w:b/>
                <w:bCs/>
                <w:color w:val="1B2E42"/>
                <w:sz w:val="17"/>
                <w:szCs w:val="17"/>
              </w:rPr>
              <w:t xml:space="preserve">Ventes livrées</w:t>
            </w:r>
          </w:p>
        </w:tc>
        <w:tc>
          <w:tcPr>
            <w:tcW w:type="dxa" w:w="64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L'historique de ce qui a été remis, et le chiffre correspondant.</w:t>
            </w:r>
          </w:p>
        </w:tc>
      </w:tr>
    </w:tbl>
    <w:p>
      <w:pPr>
        <w:spacing w:after="22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tcW w:type="dxa" w:w="60"/>
            <w:shd w:fill="17662F" w:val="clear"/>
            <w:tcMar>
              <w:top w:type="dxa" w:w="0"/>
              <w:left w:type="dxa" w:w="0"/>
              <w:bottom w:type="dxa" w:w="0"/>
              <w:right w:type="dxa" w:w="0"/>
            </w:tcMar>
          </w:tcPr>
          <w:p>
            <w:pPr>
              <w:spacing w:after="0"/>
            </w:pPr>
            <w:r>
              <w:rPr>
                <w:sz w:val="2"/>
                <w:szCs w:val="2"/>
              </w:rPr>
              <w:t xml:space="preserve"/>
            </w:r>
          </w:p>
        </w:tc>
        <w:tc>
          <w:tcPr>
            <w:tcW w:type="dxa" w:w="9300"/>
            <w:shd w:fill="E6F4EA" w:val="clear"/>
            <w:tcMar>
              <w:top w:type="dxa" w:w="120"/>
              <w:left w:type="dxa" w:w="180"/>
              <w:bottom w:type="dxa" w:w="120"/>
              <w:right w:type="dxa" w:w="180"/>
            </w:tcMar>
          </w:tcPr>
          <w:p>
            <w:pPr>
              <w:spacing w:after="70"/>
            </w:pPr>
            <w:r>
              <w:rPr>
                <w:rFonts w:ascii="Calibri" w:cs="Calibri" w:eastAsia="Calibri" w:hAnsi="Calibri"/>
                <w:b/>
                <w:bCs/>
                <w:color w:val="17662F"/>
                <w:spacing w:val="20"/>
                <w:sz w:val="15"/>
                <w:szCs w:val="15"/>
              </w:rPr>
              <w:t xml:space="preserve">CE QUI PROTÈGE LE PARTENAIRE</w:t>
            </w:r>
          </w:p>
          <w:p>
            <w:pPr>
              <w:spacing w:after="60" w:line="264"/>
            </w:pPr>
            <w:r>
              <w:rPr>
                <w:rFonts w:ascii="Calibri" w:cs="Calibri" w:eastAsia="Calibri" w:hAnsi="Calibri"/>
                <w:color w:val="1B2E42"/>
                <w:sz w:val="20"/>
                <w:szCs w:val="20"/>
              </w:rPr>
              <w:t xml:space="preserve">Un produit n'est remis qu'une fois entièrement payé. Le partenaire ne prend donc aucun risque d'impayé : au moment où la commande lui parvient, l'argent est déjà chez Kayna Kayna Pay.</w:t>
            </w:r>
          </w:p>
          <w:p>
            <w:pPr>
              <w:spacing w:after="0" w:line="264"/>
            </w:pPr>
            <w:r>
              <w:rPr>
                <w:rFonts w:ascii="Calibri" w:cs="Calibri" w:eastAsia="Calibri" w:hAnsi="Calibri"/>
                <w:color w:val="1B2E42"/>
                <w:sz w:val="20"/>
                <w:szCs w:val="20"/>
              </w:rPr>
              <w:t xml:space="preserve">En contrepartie, le partenaire n'est réglé qu'à la livraison confirmée — c'est ce qui protège le client.</w:t>
            </w:r>
          </w:p>
        </w:tc>
      </w:tr>
    </w:tbl>
    <w:p>
      <w:pPr>
        <w:spacing w:after="110" w:before="260"/>
      </w:pPr>
      <w:r>
        <w:rPr>
          <w:rFonts w:ascii="Cambria" w:cs="Cambria" w:eastAsia="Cambria" w:hAnsi="Cambria"/>
          <w:b/>
          <w:bCs/>
          <w:color w:val="003A70"/>
          <w:sz w:val="24"/>
          <w:szCs w:val="24"/>
        </w:rPr>
        <w:t xml:space="preserve">4.3  Les commandes</w:t>
      </w:r>
    </w:p>
    <w:p>
      <w:pPr>
        <w:spacing w:after="110" w:line="264"/>
      </w:pPr>
      <w:r>
        <w:rPr>
          <w:rFonts w:ascii="Calibri" w:cs="Calibri" w:eastAsia="Calibri" w:hAnsi="Calibri"/>
          <w:color w:val="1B2E42"/>
          <w:sz w:val="20"/>
          <w:szCs w:val="20"/>
        </w:rPr>
        <w:t xml:space="preserve">La liste des achats complétés, en préparation et livrés, avec pour chacun la référence, le produit, le prix vendeur et la date. Le partenaire est prévenu par notification dès qu'un de ses produits est entièrement payé.</w:t>
      </w:r>
    </w:p>
    <w:p>
      <w:pPr>
        <w:spacing w:after="110" w:before="260"/>
      </w:pPr>
      <w:r>
        <w:rPr>
          <w:rFonts w:ascii="Cambria" w:cs="Cambria" w:eastAsia="Cambria" w:hAnsi="Cambria"/>
          <w:b/>
          <w:bCs/>
          <w:color w:val="003A70"/>
          <w:sz w:val="24"/>
          <w:szCs w:val="24"/>
        </w:rPr>
        <w:t xml:space="preserve">4.4  Les produits</w:t>
      </w:r>
    </w:p>
    <w:p>
      <w:pPr>
        <w:spacing w:after="110" w:line="264"/>
      </w:pPr>
      <w:r>
        <w:rPr>
          <w:rFonts w:ascii="Calibri" w:cs="Calibri" w:eastAsia="Calibri" w:hAnsi="Calibri"/>
          <w:color w:val="1B2E42"/>
          <w:sz w:val="20"/>
          <w:szCs w:val="20"/>
        </w:rPr>
        <w:t xml:space="preserve">Le partenaire consulte ses produits, avec pour chacun son prix, le prix affiché au client, le nombre d'achats en cours et de commandes.</w:t>
      </w:r>
    </w:p>
    <w:p>
      <w:pPr>
        <w:spacing w:after="6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tcW w:type="dxa" w:w="60"/>
            <w:shd w:fill="005CA9" w:val="clear"/>
            <w:tcMar>
              <w:top w:type="dxa" w:w="0"/>
              <w:left w:type="dxa" w:w="0"/>
              <w:bottom w:type="dxa" w:w="0"/>
              <w:right w:type="dxa" w:w="0"/>
            </w:tcMar>
          </w:tcPr>
          <w:p>
            <w:pPr>
              <w:spacing w:after="0"/>
            </w:pPr>
            <w:r>
              <w:rPr>
                <w:sz w:val="2"/>
                <w:szCs w:val="2"/>
              </w:rPr>
              <w:t xml:space="preserve"/>
            </w:r>
          </w:p>
        </w:tc>
        <w:tc>
          <w:tcPr>
            <w:tcW w:type="dxa" w:w="9300"/>
            <w:shd w:fill="F4F9FD" w:val="clear"/>
            <w:tcMar>
              <w:top w:type="dxa" w:w="120"/>
              <w:left w:type="dxa" w:w="180"/>
              <w:bottom w:type="dxa" w:w="120"/>
              <w:right w:type="dxa" w:w="180"/>
            </w:tcMar>
          </w:tcPr>
          <w:p>
            <w:pPr>
              <w:spacing w:after="70"/>
            </w:pPr>
            <w:r>
              <w:rPr>
                <w:rFonts w:ascii="Calibri" w:cs="Calibri" w:eastAsia="Calibri" w:hAnsi="Calibri"/>
                <w:b/>
                <w:bCs/>
                <w:color w:val="005CA9"/>
                <w:spacing w:val="20"/>
                <w:sz w:val="15"/>
                <w:szCs w:val="15"/>
              </w:rPr>
              <w:t xml:space="preserve">AJOUTER OU MODIFIER UN PRODUIT</w:t>
            </w:r>
          </w:p>
          <w:p>
            <w:pPr>
              <w:spacing w:after="60" w:line="264"/>
            </w:pPr>
            <w:r>
              <w:rPr>
                <w:rFonts w:ascii="Calibri" w:cs="Calibri" w:eastAsia="Calibri" w:hAnsi="Calibri"/>
                <w:color w:val="1B2E42"/>
                <w:sz w:val="20"/>
                <w:szCs w:val="20"/>
              </w:rPr>
              <w:t xml:space="preserve">À ce stade, le catalogue est tenu par l'équipe Kayna Kayna Pay : contactez-la pour tout ajout ou changement de prix. Chaque modification est validée avant publication.</w:t>
            </w:r>
          </w:p>
          <w:p>
            <w:pPr>
              <w:spacing w:after="0" w:line="264"/>
            </w:pPr>
            <w:r>
              <w:rPr>
                <w:rFonts w:ascii="Calibri" w:cs="Calibri" w:eastAsia="Calibri" w:hAnsi="Calibri"/>
                <w:color w:val="1B2E42"/>
                <w:sz w:val="20"/>
                <w:szCs w:val="20"/>
              </w:rPr>
              <w:t xml:space="preserve">La gestion autonome du catalogue par les partenaires est prévue pour une prochaine étape du projet.</w:t>
            </w:r>
          </w:p>
        </w:tc>
      </w:tr>
    </w:tbl>
    <w:p>
      <w:pPr>
        <w:pageBreakBefore/>
        <w:pBdr>
          <w:bottom w:val="single" w:color="005CA9" w:sz="10" w:space="6"/>
        </w:pBdr>
        <w:spacing w:after="200" w:before="0"/>
      </w:pPr>
      <w:r>
        <w:rPr>
          <w:rFonts w:ascii="Cambria" w:cs="Cambria" w:eastAsia="Cambria" w:hAnsi="Cambria"/>
          <w:b/>
          <w:bCs/>
          <w:color w:val="003A70"/>
          <w:sz w:val="30"/>
          <w:szCs w:val="30"/>
        </w:rPr>
        <w:t xml:space="preserve">5.  Questions fréquentes</w:t>
      </w:r>
    </w:p>
    <w:p>
      <w:pPr>
        <w:spacing w:after="110" w:line="264"/>
      </w:pPr>
      <w:r>
        <w:rPr>
          <w:rFonts w:ascii="Calibri" w:cs="Calibri" w:eastAsia="Calibri" w:hAnsi="Calibri"/>
          <w:color w:val="1B2E42"/>
          <w:sz w:val="20"/>
          <w:szCs w:val="20"/>
        </w:rPr>
        <w:t xml:space="preserve">Ce que demandent le plus souvent les clients, et quoi leur répondre.</w:t>
      </w:r>
    </w:p>
    <w:p>
      <w:pPr>
        <w:spacing w:after="80"/>
      </w:pPr>
      <w:r>
        <w:rPr>
          <w:sz w:val="2"/>
          <w:szCs w:val="2"/>
        </w:rPr>
        <w:t xml:space="preserve"/>
      </w:r>
    </w:p>
    <w:p>
      <w:pPr>
        <w:spacing w:after="110" w:before="260"/>
      </w:pPr>
      <w:r>
        <w:rPr>
          <w:rFonts w:ascii="Cambria" w:cs="Cambria" w:eastAsia="Cambria" w:hAnsi="Cambria"/>
          <w:b/>
          <w:bCs/>
          <w:color w:val="003A70"/>
          <w:sz w:val="24"/>
          <w:szCs w:val="24"/>
        </w:rPr>
        <w:t xml:space="preserve">Sur les versements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Question</w:t>
            </w:r>
          </w:p>
        </w:tc>
        <w:tc>
          <w:tcPr>
            <w:tcW w:type="dxa" w:w="546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Réponse</w:t>
            </w:r>
          </w:p>
        </w:tc>
      </w:tr>
      <w:tr>
        <w:tc>
          <w:tcPr>
            <w:tcW w:type="dxa" w:w="390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 Combien dois-je verser à chaque fois ? »</w:t>
            </w:r>
          </w:p>
        </w:tc>
        <w:tc>
          <w:tcPr>
            <w:tcW w:type="dxa" w:w="54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Ce que vous voulez, dès 100 F. Aucun rythme n'est imposé.</w:t>
            </w:r>
          </w:p>
        </w:tc>
      </w:tr>
      <w:tr>
        <w:tc>
          <w:tcPr>
            <w:tcW w:type="dxa" w:w="390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 J'ai payé mais rien n'apparaît. »</w:t>
            </w:r>
          </w:p>
        </w:tc>
        <w:tc>
          <w:tcPr>
            <w:tcW w:type="dxa" w:w="54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Chaque dépôt est vérifié par notre équipe avant d'être crédité. Vous recevrez une notification dès la validation.</w:t>
            </w:r>
          </w:p>
        </w:tc>
      </w:tr>
      <w:tr>
        <w:tc>
          <w:tcPr>
            <w:tcW w:type="dxa" w:w="390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 Le minuteur est fini, mon argent est perdu ? »</w:t>
            </w:r>
          </w:p>
        </w:tc>
        <w:tc>
          <w:tcPr>
            <w:tcW w:type="dxa" w:w="54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Non. Le versement passe « en vérification » et sera validé. Un dépôt réel n'est jamais perdu.</w:t>
            </w:r>
          </w:p>
        </w:tc>
      </w:tr>
      <w:tr>
        <w:tc>
          <w:tcPr>
            <w:tcW w:type="dxa" w:w="390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 J'ai oublié la référence. »</w:t>
            </w:r>
          </w:p>
        </w:tc>
        <w:tc>
          <w:tcPr>
            <w:tcW w:type="dxa" w:w="54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Ce n'est pas bloquant : le dépôt est retrouvé grâce à votre numéro et au montant.</w:t>
            </w:r>
          </w:p>
        </w:tc>
      </w:tr>
      <w:tr>
        <w:tc>
          <w:tcPr>
            <w:tcW w:type="dxa" w:w="390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 Puis-je faire deux versements d'un coup ? »</w:t>
            </w:r>
          </w:p>
        </w:tc>
        <w:tc>
          <w:tcPr>
            <w:tcW w:type="dxa" w:w="54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Non, un seul à la fois par achat. Attendez la validation du premier.</w:t>
            </w:r>
          </w:p>
        </w:tc>
      </w:tr>
    </w:tbl>
    <w:p>
      <w:pPr>
        <w:spacing w:after="220"/>
      </w:pPr>
      <w:r>
        <w:rPr>
          <w:sz w:val="2"/>
          <w:szCs w:val="2"/>
        </w:rPr>
        <w:t xml:space="preserve"/>
      </w:r>
    </w:p>
    <w:p>
      <w:pPr>
        <w:spacing w:after="110" w:before="260"/>
      </w:pPr>
      <w:r>
        <w:rPr>
          <w:rFonts w:ascii="Cambria" w:cs="Cambria" w:eastAsia="Cambria" w:hAnsi="Cambria"/>
          <w:b/>
          <w:bCs/>
          <w:color w:val="003A70"/>
          <w:sz w:val="24"/>
          <w:szCs w:val="24"/>
        </w:rPr>
        <w:t xml:space="preserve">Sur les achats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Question</w:t>
            </w:r>
          </w:p>
        </w:tc>
        <w:tc>
          <w:tcPr>
            <w:tcW w:type="dxa" w:w="546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Réponse</w:t>
            </w:r>
          </w:p>
        </w:tc>
      </w:tr>
      <w:tr>
        <w:tc>
          <w:tcPr>
            <w:tcW w:type="dxa" w:w="390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 Le prix peut-il augmenter en cours de route ? »</w:t>
            </w:r>
          </w:p>
        </w:tc>
        <w:tc>
          <w:tcPr>
            <w:tcW w:type="dxa" w:w="54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Non. Le prix est figé au démarrage de l'achat et garanti jusqu'au bout.</w:t>
            </w:r>
          </w:p>
        </w:tc>
      </w:tr>
      <w:tr>
        <w:tc>
          <w:tcPr>
            <w:tcW w:type="dxa" w:w="390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 Puis-je acheter deux choses en même temps ? »</w:t>
            </w:r>
          </w:p>
        </w:tc>
        <w:tc>
          <w:tcPr>
            <w:tcW w:type="dxa" w:w="54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Oui. Chaque achat a son propre portefeuille, l'argent n'est jamais mélangé.</w:t>
            </w:r>
          </w:p>
        </w:tc>
      </w:tr>
      <w:tr>
        <w:tc>
          <w:tcPr>
            <w:tcW w:type="dxa" w:w="390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 Quand vais-je recevoir mon produit ? »</w:t>
            </w:r>
          </w:p>
        </w:tc>
        <w:tc>
          <w:tcPr>
            <w:tcW w:type="dxa" w:w="54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Dès que le montant total est atteint. Nous organisons alors la remise avec le vendeur.</w:t>
            </w:r>
          </w:p>
        </w:tc>
      </w:tr>
      <w:tr>
        <w:tc>
          <w:tcPr>
            <w:tcW w:type="dxa" w:w="390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 Je veux arrêter et récupérer mon argent. »</w:t>
            </w:r>
          </w:p>
        </w:tc>
        <w:tc>
          <w:tcPr>
            <w:tcW w:type="dxa" w:w="54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Demandez l'annulation depuis le détail de l'achat. Nous vous recontactons.</w:t>
            </w:r>
          </w:p>
        </w:tc>
      </w:tr>
      <w:tr>
        <w:tc>
          <w:tcPr>
            <w:tcW w:type="dxa" w:w="390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 Le produit n'est plus disponible. »</w:t>
            </w:r>
          </w:p>
        </w:tc>
        <w:tc>
          <w:tcPr>
            <w:tcW w:type="dxa" w:w="54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Vous choisissez : un produit équivalent, le report sur un autre achat, ou le remboursement intégral sans frais.</w:t>
            </w:r>
          </w:p>
        </w:tc>
      </w:tr>
    </w:tbl>
    <w:p>
      <w:pPr>
        <w:spacing w:after="220"/>
      </w:pPr>
      <w:r>
        <w:rPr>
          <w:sz w:val="2"/>
          <w:szCs w:val="2"/>
        </w:rPr>
        <w:t xml:space="preserve"/>
      </w:r>
    </w:p>
    <w:p>
      <w:pPr>
        <w:spacing w:after="110" w:before="260"/>
      </w:pPr>
      <w:r>
        <w:rPr>
          <w:rFonts w:ascii="Cambria" w:cs="Cambria" w:eastAsia="Cambria" w:hAnsi="Cambria"/>
          <w:b/>
          <w:bCs/>
          <w:color w:val="003A70"/>
          <w:sz w:val="24"/>
          <w:szCs w:val="24"/>
        </w:rPr>
        <w:t xml:space="preserve">Sur la confiance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Question</w:t>
            </w:r>
          </w:p>
        </w:tc>
        <w:tc>
          <w:tcPr>
            <w:tcW w:type="dxa" w:w="546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Réponse</w:t>
            </w:r>
          </w:p>
        </w:tc>
      </w:tr>
      <w:tr>
        <w:tc>
          <w:tcPr>
            <w:tcW w:type="dxa" w:w="390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 Comment savoir que vous ne partirez pas avec mon argent ? »</w:t>
            </w:r>
          </w:p>
        </w:tc>
        <w:tc>
          <w:tcPr>
            <w:tcW w:type="dxa" w:w="54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Chaque versement est tracé et consultable dans l'application : c'est votre preuve. Les fonds restent sous notre contrôle jusqu'à la livraison, et le vendeur n'est payé qu'à ce moment-là.</w:t>
            </w:r>
          </w:p>
        </w:tc>
      </w:tr>
      <w:tr>
        <w:tc>
          <w:tcPr>
            <w:tcW w:type="dxa" w:w="390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 Et si le vendeur ne livre pas ? »</w:t>
            </w:r>
          </w:p>
        </w:tc>
        <w:tc>
          <w:tcPr>
            <w:tcW w:type="dxa" w:w="54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Il n'est pas payé. Vous êtes remboursé intégralement ou réorienté vers un autre produit.</w:t>
            </w:r>
          </w:p>
        </w:tc>
      </w:tr>
      <w:tr>
        <w:tc>
          <w:tcPr>
            <w:tcW w:type="dxa" w:w="390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 Mes données sont-elles en sécurité ? »</w:t>
            </w:r>
          </w:p>
        </w:tc>
        <w:tc>
          <w:tcPr>
            <w:tcW w:type="dxa" w:w="546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Nous ne collectons que le nécessaire : numéro, nom, historique d'achats. Votre mot de passe est chiffré de façon irréversible — même nous ne pouvons pas le lire.</w:t>
            </w:r>
          </w:p>
        </w:tc>
      </w:tr>
    </w:tbl>
    <w:p>
      <w:pPr>
        <w:pageBreakBefore/>
        <w:pBdr>
          <w:bottom w:val="single" w:color="005CA9" w:sz="10" w:space="6"/>
        </w:pBdr>
        <w:spacing w:after="200" w:before="0"/>
      </w:pPr>
      <w:r>
        <w:rPr>
          <w:rFonts w:ascii="Cambria" w:cs="Cambria" w:eastAsia="Cambria" w:hAnsi="Cambria"/>
          <w:b/>
          <w:bCs/>
          <w:color w:val="003A70"/>
          <w:sz w:val="30"/>
          <w:szCs w:val="30"/>
        </w:rPr>
        <w:t xml:space="preserve">6.  Qui fait quoi</w:t>
      </w:r>
    </w:p>
    <w:p>
      <w:pPr>
        <w:spacing w:after="110" w:line="264"/>
      </w:pPr>
      <w:r>
        <w:rPr>
          <w:rFonts w:ascii="Calibri" w:cs="Calibri" w:eastAsia="Calibri" w:hAnsi="Calibri"/>
          <w:color w:val="1B2E42"/>
          <w:sz w:val="20"/>
          <w:szCs w:val="20"/>
        </w:rPr>
        <w:t xml:space="preserve">Récapitulatif des rôles et de ce que chacun peut faire.</w:t>
      </w:r>
    </w:p>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30"/>
        <w:gridCol w:w="3230"/>
      </w:tblGrid>
      <w:tr>
        <w:trPr>
          <w:tblHeader/>
        </w:trPr>
        <w:tc>
          <w:tcPr>
            <w:tcW w:type="dxa" w:w="190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Rôle</w:t>
            </w:r>
          </w:p>
        </w:tc>
        <w:tc>
          <w:tcPr>
            <w:tcW w:type="dxa" w:w="423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Peut</w:t>
            </w:r>
          </w:p>
        </w:tc>
        <w:tc>
          <w:tcPr>
            <w:tcW w:type="dxa" w:w="3230"/>
            <w:shd w:fill="EAF2FA" w:val="clear"/>
            <w:tcMar>
              <w:top w:type="dxa" w:w="80"/>
              <w:left w:type="dxa" w:w="130"/>
              <w:bottom w:type="dxa" w:w="80"/>
              <w:right w:type="dxa" w:w="130"/>
            </w:tcMar>
            <w:vAlign w:val="top"/>
          </w:tcPr>
          <w:p>
            <w:pPr>
              <w:spacing w:after="0" w:line="252"/>
            </w:pPr>
            <w:r>
              <w:rPr>
                <w:rFonts w:ascii="Calibri" w:cs="Calibri" w:eastAsia="Calibri" w:hAnsi="Calibri"/>
                <w:b/>
                <w:bCs/>
                <w:color w:val="003A70"/>
                <w:sz w:val="15"/>
                <w:szCs w:val="15"/>
              </w:rPr>
              <w:t xml:space="preserve">Ne peut pas</w:t>
            </w:r>
          </w:p>
        </w:tc>
      </w:tr>
      <w:tr>
        <w:tc>
          <w:tcPr>
            <w:tcW w:type="dxa" w:w="1900"/>
            <w:tcMar>
              <w:top w:type="dxa" w:w="80"/>
              <w:left w:type="dxa" w:w="130"/>
              <w:bottom w:type="dxa" w:w="80"/>
              <w:right w:type="dxa" w:w="130"/>
            </w:tcMar>
            <w:vAlign w:val="top"/>
          </w:tcPr>
          <w:p>
            <w:pPr>
              <w:spacing w:after="0" w:line="252"/>
            </w:pPr>
            <w:r>
              <w:rPr>
                <w:rFonts w:ascii="Calibri" w:cs="Calibri" w:eastAsia="Calibri" w:hAnsi="Calibri"/>
                <w:b/>
                <w:bCs/>
                <w:color w:val="1B2E42"/>
                <w:sz w:val="17"/>
                <w:szCs w:val="17"/>
              </w:rPr>
              <w:t xml:space="preserve">Client</w:t>
            </w:r>
          </w:p>
        </w:tc>
        <w:tc>
          <w:tcPr>
            <w:tcW w:type="dxa" w:w="423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Créer un compte, acheter, verser, suivre ses portefeuilles, demander une annulation, supprimer son compte</w:t>
            </w:r>
          </w:p>
        </w:tc>
        <w:tc>
          <w:tcPr>
            <w:tcW w:type="dxa" w:w="323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Voir les achats des autres, accéder aux espaces web</w:t>
            </w:r>
          </w:p>
        </w:tc>
      </w:tr>
      <w:tr>
        <w:tc>
          <w:tcPr>
            <w:tcW w:type="dxa" w:w="1900"/>
            <w:tcMar>
              <w:top w:type="dxa" w:w="80"/>
              <w:left w:type="dxa" w:w="130"/>
              <w:bottom w:type="dxa" w:w="80"/>
              <w:right w:type="dxa" w:w="130"/>
            </w:tcMar>
            <w:vAlign w:val="top"/>
          </w:tcPr>
          <w:p>
            <w:pPr>
              <w:spacing w:after="0" w:line="252"/>
            </w:pPr>
            <w:r>
              <w:rPr>
                <w:rFonts w:ascii="Calibri" w:cs="Calibri" w:eastAsia="Calibri" w:hAnsi="Calibri"/>
                <w:b/>
                <w:bCs/>
                <w:color w:val="1B2E42"/>
                <w:sz w:val="17"/>
                <w:szCs w:val="17"/>
              </w:rPr>
              <w:t xml:space="preserve">Partenaire</w:t>
            </w:r>
          </w:p>
        </w:tc>
        <w:tc>
          <w:tcPr>
            <w:tcW w:type="dxa" w:w="423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Consulter ses produits, ses achats en cours et ses commandes</w:t>
            </w:r>
          </w:p>
        </w:tc>
        <w:tc>
          <w:tcPr>
            <w:tcW w:type="dxa" w:w="323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Modifier son catalogue lui-même, voir les autres partenaires</w:t>
            </w:r>
          </w:p>
        </w:tc>
      </w:tr>
      <w:tr>
        <w:tc>
          <w:tcPr>
            <w:tcW w:type="dxa" w:w="1900"/>
            <w:tcMar>
              <w:top w:type="dxa" w:w="80"/>
              <w:left w:type="dxa" w:w="130"/>
              <w:bottom w:type="dxa" w:w="80"/>
              <w:right w:type="dxa" w:w="130"/>
            </w:tcMar>
            <w:vAlign w:val="top"/>
          </w:tcPr>
          <w:p>
            <w:pPr>
              <w:spacing w:after="0" w:line="252"/>
            </w:pPr>
            <w:r>
              <w:rPr>
                <w:rFonts w:ascii="Calibri" w:cs="Calibri" w:eastAsia="Calibri" w:hAnsi="Calibri"/>
                <w:b/>
                <w:bCs/>
                <w:color w:val="1B2E42"/>
                <w:sz w:val="17"/>
                <w:szCs w:val="17"/>
              </w:rPr>
              <w:t xml:space="preserve">Administrateur</w:t>
            </w:r>
          </w:p>
        </w:tc>
        <w:tc>
          <w:tcPr>
            <w:tcW w:type="dxa" w:w="423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Valider et rejeter les versements, gérer achats, catalogue, partenaires et clients, envoyer des campagnes</w:t>
            </w:r>
          </w:p>
        </w:tc>
        <w:tc>
          <w:tcPr>
            <w:tcW w:type="dxa" w:w="323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Modifier les paramètres, voir le journal d'audit, suspendre un autre administrateur</w:t>
            </w:r>
          </w:p>
        </w:tc>
      </w:tr>
      <w:tr>
        <w:tc>
          <w:tcPr>
            <w:tcW w:type="dxa" w:w="1900"/>
            <w:tcMar>
              <w:top w:type="dxa" w:w="80"/>
              <w:left w:type="dxa" w:w="130"/>
              <w:bottom w:type="dxa" w:w="80"/>
              <w:right w:type="dxa" w:w="130"/>
            </w:tcMar>
            <w:vAlign w:val="top"/>
          </w:tcPr>
          <w:p>
            <w:pPr>
              <w:spacing w:after="0" w:line="252"/>
            </w:pPr>
            <w:r>
              <w:rPr>
                <w:rFonts w:ascii="Calibri" w:cs="Calibri" w:eastAsia="Calibri" w:hAnsi="Calibri"/>
                <w:b/>
                <w:bCs/>
                <w:color w:val="1B2E42"/>
                <w:sz w:val="17"/>
                <w:szCs w:val="17"/>
              </w:rPr>
              <w:t xml:space="preserve">Super-admin</w:t>
            </w:r>
          </w:p>
        </w:tc>
        <w:tc>
          <w:tcPr>
            <w:tcW w:type="dxa" w:w="423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Tout, y compris les paramètres (commission, numéros de dépôt, minimums) et le journal d'audit</w:t>
            </w:r>
          </w:p>
        </w:tc>
        <w:tc>
          <w:tcPr>
            <w:tcW w:type="dxa" w:w="3230"/>
            <w:tcMar>
              <w:top w:type="dxa" w:w="80"/>
              <w:left w:type="dxa" w:w="130"/>
              <w:bottom w:type="dxa" w:w="80"/>
              <w:right w:type="dxa" w:w="130"/>
            </w:tcMar>
            <w:vAlign w:val="top"/>
          </w:tcPr>
          <w:p>
            <w:pPr>
              <w:spacing w:after="0" w:line="252"/>
            </w:pPr>
            <w:r>
              <w:rPr>
                <w:rFonts w:ascii="Calibri" w:cs="Calibri" w:eastAsia="Calibri" w:hAnsi="Calibri"/>
                <w:color w:val="1B2E42"/>
                <w:sz w:val="17"/>
                <w:szCs w:val="17"/>
              </w:rPr>
              <w:t xml:space="preserve">—</w:t>
            </w:r>
          </w:p>
        </w:tc>
      </w:tr>
    </w:tbl>
    <w:p>
      <w:pPr>
        <w:spacing w:after="24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tcW w:type="dxa" w:w="60"/>
            <w:shd w:fill="17662F" w:val="clear"/>
            <w:tcMar>
              <w:top w:type="dxa" w:w="0"/>
              <w:left w:type="dxa" w:w="0"/>
              <w:bottom w:type="dxa" w:w="0"/>
              <w:right w:type="dxa" w:w="0"/>
            </w:tcMar>
          </w:tcPr>
          <w:p>
            <w:pPr>
              <w:spacing w:after="0"/>
            </w:pPr>
            <w:r>
              <w:rPr>
                <w:sz w:val="2"/>
                <w:szCs w:val="2"/>
              </w:rPr>
              <w:t xml:space="preserve"/>
            </w:r>
          </w:p>
        </w:tc>
        <w:tc>
          <w:tcPr>
            <w:tcW w:type="dxa" w:w="9300"/>
            <w:shd w:fill="E6F4EA" w:val="clear"/>
            <w:tcMar>
              <w:top w:type="dxa" w:w="120"/>
              <w:left w:type="dxa" w:w="180"/>
              <w:bottom w:type="dxa" w:w="120"/>
              <w:right w:type="dxa" w:w="180"/>
            </w:tcMar>
          </w:tcPr>
          <w:p>
            <w:pPr>
              <w:spacing w:after="70"/>
            </w:pPr>
            <w:r>
              <w:rPr>
                <w:rFonts w:ascii="Calibri" w:cs="Calibri" w:eastAsia="Calibri" w:hAnsi="Calibri"/>
                <w:b/>
                <w:bCs/>
                <w:color w:val="17662F"/>
                <w:spacing w:val="20"/>
                <w:sz w:val="15"/>
                <w:szCs w:val="15"/>
              </w:rPr>
              <w:t xml:space="preserve">LE PRINCIPE DERRIÈRE CES CLOISONS</w:t>
            </w:r>
          </w:p>
          <w:p>
            <w:pPr>
              <w:spacing w:after="0" w:line="264"/>
            </w:pPr>
            <w:r>
              <w:rPr>
                <w:rFonts w:ascii="Calibri" w:cs="Calibri" w:eastAsia="Calibri" w:hAnsi="Calibri"/>
                <w:color w:val="1B2E42"/>
                <w:sz w:val="20"/>
                <w:szCs w:val="20"/>
              </w:rPr>
              <w:t xml:space="preserve">Chacun n'a accès qu'à ce dont il a besoin. Ce n'est pas de la défiance : c'est ce qui permet, en cas de problème, de savoir précisément qui a fait quoi — et donc de protéger aussi les personnes de bonne foi.</w:t>
            </w:r>
          </w:p>
        </w:tc>
      </w:tr>
    </w:tbl>
    <w:p>
      <w:pPr>
        <w:spacing w:after="200"/>
      </w:pPr>
      <w:r>
        <w:rPr>
          <w:sz w:val="2"/>
          <w:szCs w:val="2"/>
        </w:rPr>
        <w:t xml:space="preserve"/>
      </w:r>
    </w:p>
    <w:p>
      <w:pPr>
        <w:spacing w:after="110" w:line="264"/>
      </w:pPr>
      <w:r>
        <w:rPr>
          <w:rFonts w:ascii="Calibri" w:cs="Calibri" w:eastAsia="Calibri" w:hAnsi="Calibri"/>
          <w:color w:val="5D7285"/>
          <w:sz w:val="17"/>
          <w:szCs w:val="17"/>
        </w:rPr>
        <w:t xml:space="preserve">Pour aller plus loin : </w:t>
      </w:r>
      <w:r>
        <w:rPr>
          <w:rFonts w:ascii="Calibri" w:cs="Calibri" w:eastAsia="Calibri" w:hAnsi="Calibri"/>
          <w:b/>
          <w:bCs/>
          <w:color w:val="5D7285"/>
          <w:sz w:val="17"/>
          <w:szCs w:val="17"/>
        </w:rPr>
        <w:t xml:space="preserve">Comprendre Kayna Kayna Pay</w:t>
      </w:r>
      <w:r>
        <w:rPr>
          <w:rFonts w:ascii="Calibri" w:cs="Calibri" w:eastAsia="Calibri" w:hAnsi="Calibri"/>
          <w:color w:val="5D7285"/>
          <w:sz w:val="17"/>
          <w:szCs w:val="17"/>
        </w:rPr>
        <w:t xml:space="preserve"> explique le fonctionnement interne du produit ; la </w:t>
      </w:r>
      <w:r>
        <w:rPr>
          <w:rFonts w:ascii="Calibri" w:cs="Calibri" w:eastAsia="Calibri" w:hAnsi="Calibri"/>
          <w:b/>
          <w:bCs/>
          <w:color w:val="5D7285"/>
          <w:sz w:val="17"/>
          <w:szCs w:val="17"/>
        </w:rPr>
        <w:t xml:space="preserve">documentation d'exploitation</w:t>
      </w:r>
      <w:r>
        <w:rPr>
          <w:rFonts w:ascii="Calibri" w:cs="Calibri" w:eastAsia="Calibri" w:hAnsi="Calibri"/>
          <w:color w:val="5D7285"/>
          <w:sz w:val="17"/>
          <w:szCs w:val="17"/>
        </w:rPr>
        <w:t xml:space="preserve"> (dossier docs/) détaille la gestion des litiges, les sauvegardes et la surveillance quotidienne.</w:t>
      </w:r>
    </w:p>
    <w:sectPr>
      <w:headerReference w:type="default" r:id="rId7"/>
      <w:footerReference w:type="default" r:id="rId8"/>
      <w:pgSz w:w="11906" w:h="16838" w:orient="portrait"/>
      <w:pgMar w:top="115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0" w:before="60"/>
    </w:pPr>
    <w:r>
      <w:rPr>
        <w:rFonts w:ascii="Calibri" w:cs="Calibri" w:eastAsia="Calibri" w:hAnsi="Calibri"/>
        <w:color w:val="5D7285"/>
        <w:sz w:val="15"/>
        <w:szCs w:val="15"/>
      </w:rPr>
      <w:t xml:space="preserve">Août 2026</w:t>
    </w:r>
    <w:r>
      <w:rPr>
        <w:sz w:val="15"/>
        <w:szCs w:val="15"/>
      </w:rPr>
      <w:t xml:space="preserve">	</w:t>
    </w:r>
    <w:r>
      <w:rPr>
        <w:rFonts w:ascii="Calibri" w:cs="Calibri" w:eastAsia="Calibri" w:hAnsi="Calibri"/>
        <w:b/>
        <w:bCs/>
        <w:color w:val="005CA9"/>
        <w:sz w:val="15"/>
        <w:szCs w:val="15"/>
      </w:rPr>
      <w:fldChar w:fldCharType="begin"/>
      <w:instrText xml:space="preserve">PAGE</w:instrText>
      <w:fldChar w:fldCharType="separate"/>
      <w:fldChar w:fldCharType="end"/>
    </w:r>
    <w:r>
      <w:rPr>
        <w:rFonts w:ascii="Calibri" w:cs="Calibri" w:eastAsia="Calibri" w:hAnsi="Calibri"/>
        <w:color w:val="5D7285"/>
        <w:sz w:val="15"/>
        <w:szCs w:val="15"/>
      </w:rPr>
      <w:t xml:space="preserve"> / </w:t>
    </w:r>
    <w:r>
      <w:rPr>
        <w:rFonts w:ascii="Calibri" w:cs="Calibri" w:eastAsia="Calibri" w:hAnsi="Calibri"/>
        <w:color w:val="5D728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E3EE" w:sz="4" w:space="6"/>
      </w:pBdr>
      <w:tabs>
        <w:tab w:val="right" w:pos="9360"/>
      </w:tabs>
      <w:spacing w:after="0"/>
    </w:pPr>
    <w:r>
      <w:rPr>
        <w:rFonts w:ascii="Calibri" w:cs="Calibri" w:eastAsia="Calibri" w:hAnsi="Calibri"/>
        <w:b/>
        <w:bCs/>
        <w:color w:val="005CA9"/>
        <w:sz w:val="15"/>
        <w:szCs w:val="15"/>
      </w:rPr>
      <w:t xml:space="preserve">Kayna Kayna Pay</w:t>
    </w:r>
    <w:r>
      <w:rPr>
        <w:rFonts w:ascii="Calibri" w:cs="Calibri" w:eastAsia="Calibri" w:hAnsi="Calibri"/>
        <w:color w:val="5D7285"/>
        <w:sz w:val="15"/>
        <w:szCs w:val="15"/>
      </w:rPr>
      <w:t xml:space="preserve">	Guide d'utilisation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c0912e581c24f779d1c4840d549f1ba09ab61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Kayna Kayna Pay — Guide d'utilisation</dc:title>
  <dc:creator>Kayna Kayna Pay</dc:creator>
  <dc:description>Comment utiliser Kayna Kayna Pay au quotidien : client, équipe et partenaire.</dc:description>
  <cp:lastModifiedBy>Un-named</cp:lastModifiedBy>
  <cp:revision>1</cp:revision>
  <dcterms:created xsi:type="dcterms:W3CDTF">2026-08-20T12:11:18.405Z</dcterms:created>
  <dcterms:modified xsi:type="dcterms:W3CDTF">2026-08-20T12:11:18.405Z</dcterms:modified>
</cp:coreProperties>
</file>

<file path=docProps/custom.xml><?xml version="1.0" encoding="utf-8"?>
<Properties xmlns="http://schemas.openxmlformats.org/officeDocument/2006/custom-properties" xmlns:vt="http://schemas.openxmlformats.org/officeDocument/2006/docPropsVTypes"/>
</file>