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03A70"/>
          <w:spacing w:val="30"/>
          <w:sz w:val="34"/>
          <w:szCs w:val="34"/>
        </w:rPr>
        <w:t xml:space="preserve">KAYNA KAYNA PAY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D7285"/>
          <w:sz w:val="20"/>
          <w:szCs w:val="20"/>
        </w:rPr>
        <w:t xml:space="preserve">« Petit à petit, paye »  —  l'essentiel en 2 pages</w:t>
      </w:r>
    </w:p>
    <w:p>
      <w:pPr>
        <w:pBdr>
          <w:bottom w:val="single" w:color="005CA9" w:sz="12"/>
        </w:pBdr>
        <w:spacing w:after="240"/>
      </w:pPr>
      <w:r>
        <w:rPr>
          <w:sz w:val="4"/>
          <w:szCs w:val="4"/>
        </w:rPr>
        <w:t xml:space="preserve"/>
      </w:r>
    </w:p>
    <w:p>
      <w:pPr>
        <w:spacing w:after="95" w:before="175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1.  Le projet</w:t>
      </w:r>
    </w:p>
    <w:p>
      <w:pPr>
        <w:spacing w:after="12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>Une application qui permet d'acheter un produit en le payant petit à petit par mobile money, et de le recevoir une fois qu'il est entièrement payé. </w:t>
      </w: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L'argent reste chez Kayna Kayna Pay jusqu'à la livraison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: le client est sûr de recevoir, le vendeur est sûr d'être payé.</w:t>
      </w:r>
    </w:p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>Revenu : une commission de 5 % incluse dans le prix affiché. Un produit à 100 000 F chez le vendeur est affiché 105 000 F.</w:t>
      </w:r>
    </w:p>
    <w:p>
      <w:pPr>
        <w:spacing w:after="95" w:before="175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2.  Comment ça marche (le parcours)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8740"/>
      </w:tblGrid>
      <w:tr>
        <w:trPr>
          <w:tblHeader/>
        </w:trPr>
        <w:tc>
          <w:tcPr>
            <w:tcW w:type="dxa" w:w="620"/>
            <w:shd w:fill="EAF2FA" w:val="clear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/>
            </w:r>
          </w:p>
        </w:tc>
        <w:tc>
          <w:tcPr>
            <w:tcW w:type="dxa" w:w="8740"/>
            <w:shd w:fill="EAF2FA" w:val="clear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Ce qui se passe</w:t>
            </w:r>
          </w:p>
        </w:tc>
      </w:tr>
      <w:tr>
        <w:tc>
          <w:tcPr>
            <w:tcW w:type="dxa" w:w="62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1</w:t>
            </w:r>
          </w:p>
        </w:tc>
        <w:tc>
          <w:tcPr>
            <w:tcW w:type="dxa" w:w="874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client choisit un produit et ouvre un « portefeuille » à 0 F.</w:t>
            </w:r>
          </w:p>
        </w:tc>
      </w:tr>
      <w:tr>
        <w:tc>
          <w:tcPr>
            <w:tcW w:type="dxa" w:w="62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2</w:t>
            </w:r>
          </w:p>
        </w:tc>
        <w:tc>
          <w:tcPr>
            <w:tcW w:type="dxa" w:w="874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Il déclare un versement (dès 100 F). L'app lui donne le numéro de dépôt et une référence unique.</w:t>
            </w:r>
          </w:p>
        </w:tc>
      </w:tr>
      <w:tr>
        <w:tc>
          <w:tcPr>
            <w:tcW w:type="dxa" w:w="62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3</w:t>
            </w:r>
          </w:p>
        </w:tc>
        <w:tc>
          <w:tcPr>
            <w:tcW w:type="dxa" w:w="874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Il dépose par NITA / Amana / Wave, puis appuie sur « j'ai effectué le dépôt ».</w:t>
            </w:r>
          </w:p>
        </w:tc>
      </w:tr>
      <w:tr>
        <w:tc>
          <w:tcPr>
            <w:tcW w:type="dxa" w:w="62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4</w:t>
            </w:r>
          </w:p>
        </w:tc>
        <w:tc>
          <w:tcPr>
            <w:tcW w:type="dxa" w:w="874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versement apparaît instantanément chez votre équipe, qui vérifie le dépôt réel et valide.</w:t>
            </w:r>
          </w:p>
        </w:tc>
      </w:tr>
      <w:tr>
        <w:tc>
          <w:tcPr>
            <w:tcW w:type="dxa" w:w="62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18"/>
                <w:szCs w:val="18"/>
              </w:rPr>
              <w:t xml:space="preserve">5</w:t>
            </w:r>
          </w:p>
        </w:tc>
        <w:tc>
          <w:tcPr>
            <w:tcW w:type="dxa" w:w="874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portefeuille du client est crédité en temps réel. Au montant total : achat complété, produit remis.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95" w:before="175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3.  Les trois morceaux techniques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200"/>
        <w:gridCol w:w="2660"/>
      </w:tblGrid>
      <w:tr>
        <w:trPr>
          <w:tblHeader/>
        </w:trPr>
        <w:tc>
          <w:tcPr>
            <w:tcW w:type="dxa" w:w="2500"/>
            <w:shd w:fill="EAF2FA" w:val="clear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Morceau</w:t>
            </w:r>
          </w:p>
        </w:tc>
        <w:tc>
          <w:tcPr>
            <w:tcW w:type="dxa" w:w="4200"/>
            <w:shd w:fill="EAF2FA" w:val="clear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Rôle</w:t>
            </w:r>
          </w:p>
        </w:tc>
        <w:tc>
          <w:tcPr>
            <w:tcW w:type="dxa" w:w="2660"/>
            <w:shd w:fill="EAF2FA" w:val="clear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Analogie</w:t>
            </w:r>
          </w:p>
        </w:tc>
      </w:tr>
      <w:tr>
        <w:tc>
          <w:tcPr>
            <w:tcW w:type="dxa" w:w="250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Application mobile</w:t>
            </w:r>
          </w:p>
        </w:tc>
        <w:tc>
          <w:tcPr>
            <w:tcW w:type="dxa" w:w="420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Ce que voit le client</w:t>
            </w:r>
          </w:p>
        </w:tc>
        <w:tc>
          <w:tcPr>
            <w:tcW w:type="dxa" w:w="266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La salle du restaurant</w:t>
            </w:r>
          </w:p>
        </w:tc>
      </w:tr>
      <w:tr>
        <w:tc>
          <w:tcPr>
            <w:tcW w:type="dxa" w:w="250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Backend (le serveur)</w:t>
            </w:r>
          </w:p>
        </w:tc>
        <w:tc>
          <w:tcPr>
            <w:tcW w:type="dxa" w:w="420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Toutes les règles, 36 entrées d'API</w:t>
            </w:r>
          </w:p>
        </w:tc>
        <w:tc>
          <w:tcPr>
            <w:tcW w:type="dxa" w:w="266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La cuisine</w:t>
            </w:r>
          </w:p>
        </w:tc>
      </w:tr>
      <w:tr>
        <w:tc>
          <w:tcPr>
            <w:tcW w:type="dxa" w:w="250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Base de données</w:t>
            </w:r>
          </w:p>
        </w:tc>
        <w:tc>
          <w:tcPr>
            <w:tcW w:type="dxa" w:w="420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La mémoire, 13 tables</w:t>
            </w:r>
          </w:p>
        </w:tc>
        <w:tc>
          <w:tcPr>
            <w:tcW w:type="dxa" w:w="266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0344A"/>
                <w:sz w:val="18"/>
                <w:szCs w:val="18"/>
              </w:rPr>
              <w:t xml:space="preserve">Le garde-manger</w:t>
            </w:r>
          </w:p>
        </w:tc>
      </w:tr>
    </w:tbl>
    <w:p>
      <w:pPr>
        <w:spacing w:after="1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200" w:line="276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Règle absolue : 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rien ne parle jamais directement à la base. Tout passe par le backend, qui vérifie tout — parce qu'un téléphone peut être trafiqué, un serveur non.</w:t>
      </w:r>
    </w:p>
    <w:p>
      <w:pPr>
        <w:spacing w:after="95" w:before="175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4.  Les trois règles qui protègent l'argent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8FD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005CA9"/>
                <w:spacing w:val="20"/>
                <w:sz w:val="17"/>
                <w:szCs w:val="17"/>
              </w:rPr>
              <w:t xml:space="preserve">CE QUI REND LE SYSTÈME FIABLE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8" w:line="270"/>
            </w:pPr>
            <w:r>
              <w:rPr>
                <w:rFonts w:ascii="Calibri" w:cs="Calibri" w:eastAsia="Calibri" w:hAnsi="Calibri"/>
                <w:b/>
                <w:bCs/>
                <w:color w:val="20344A"/>
                <w:sz w:val="20"/>
                <w:szCs w:val="20"/>
              </w:rPr>
              <w:t xml:space="preserve">Une écriture validée ne change plus jamais.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Une erreur se corrige par une nouvelle ligne signée, jamais par une gomme.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8" w:line="270"/>
            </w:pPr>
            <w:r>
              <w:rPr>
                <w:rFonts w:ascii="Calibri" w:cs="Calibri" w:eastAsia="Calibri" w:hAnsi="Calibri"/>
                <w:b/>
                <w:bCs/>
                <w:color w:val="20344A"/>
                <w:sz w:val="20"/>
                <w:szCs w:val="20"/>
              </w:rPr>
              <w:t xml:space="preserve">Le solde n'est jamais saisi, il est recalculé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depuis toutes les écritures. Un solde faux est donc réparable.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8" w:line="270"/>
            </w:pPr>
            <w:r>
              <w:rPr>
                <w:rFonts w:ascii="Calibri" w:cs="Calibri" w:eastAsia="Calibri" w:hAnsi="Calibri"/>
                <w:b/>
                <w:bCs/>
                <w:color w:val="20344A"/>
                <w:sz w:val="20"/>
                <w:szCs w:val="20"/>
              </w:rPr>
              <w:t xml:space="preserve">Les interdits sont posés dans la base, pas seulement dans le code.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Un double versement est physiquement impossible, quoi que fasse le programme.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pageBreakBefore/>
        <w:spacing w:after="0"/>
      </w:pPr>
      <w:r>
        <w:rPr>
          <w:sz w:val="2"/>
          <w:szCs w:val="2"/>
        </w:rPr>
        <w:t xml:space="preserve"/>
      </w:r>
    </w:p>
    <w:p>
      <w:pPr>
        <w:spacing w:after="95" w:before="175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5.  Où on en 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AF2FA" w:val="clear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Fait</w:t>
            </w:r>
          </w:p>
        </w:tc>
        <w:tc>
          <w:tcPr>
            <w:tcW w:type="dxa" w:w="4680"/>
            <w:shd w:fill="EAF2FA" w:val="clear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3A70"/>
                <w:sz w:val="17"/>
                <w:szCs w:val="17"/>
              </w:rPr>
              <w:t xml:space="preserve">Pas encore fait</w:t>
            </w:r>
          </w:p>
        </w:tc>
      </w:tr>
      <w:tr>
        <w:tc>
          <w:tcPr>
            <w:tcW w:type="dxa" w:w="468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Application mobile — 16 écrans</w:t>
            </w:r>
          </w:p>
        </w:tc>
        <w:tc>
          <w:tcPr>
            <w:tcW w:type="dxa" w:w="468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Essai sur un vrai téléphone</w:t>
            </w:r>
          </w:p>
        </w:tc>
      </w:tr>
      <w:tr>
        <w:tc>
          <w:tcPr>
            <w:tcW w:type="dxa" w:w="468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Backend + espace admin + espace partenaire</w:t>
            </w:r>
          </w:p>
        </w:tc>
        <w:tc>
          <w:tcPr>
            <w:tcW w:type="dxa" w:w="468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Photos des produits</w:t>
            </w:r>
          </w:p>
        </w:tc>
      </w:tr>
      <w:tr>
        <w:tc>
          <w:tcPr>
            <w:tcW w:type="dxa" w:w="468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25 tests automatiques, tous verts</w:t>
            </w:r>
          </w:p>
        </w:tc>
        <w:tc>
          <w:tcPr>
            <w:tcW w:type="dxa" w:w="468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Vrais SMS (passerelle à contractualiser)</w:t>
            </w:r>
          </w:p>
        </w:tc>
      </w:tr>
      <w:tr>
        <w:tc>
          <w:tcPr>
            <w:tcW w:type="dxa" w:w="468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Logo, charte graphique, pitch deck</w:t>
            </w:r>
          </w:p>
        </w:tc>
        <w:tc>
          <w:tcPr>
            <w:tcW w:type="dxa" w:w="468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CGU validées par un juriste</w:t>
            </w:r>
          </w:p>
        </w:tc>
      </w:tr>
      <w:tr>
        <w:tc>
          <w:tcPr>
            <w:tcW w:type="dxa" w:w="468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1B7A38"/>
                <w:sz w:val="18"/>
                <w:szCs w:val="18"/>
              </w:rPr>
              <w:t xml:space="preserve">Sécurité : double authentification admin</w:t>
            </w:r>
          </w:p>
        </w:tc>
        <w:tc>
          <w:tcPr>
            <w:tcW w:type="dxa" w:w="4680"/>
            <w:tcMar>
              <w:top w:type="dxa" w:w="72"/>
              <w:left w:type="dxa" w:w="140"/>
              <w:bottom w:type="dxa" w:w="72"/>
              <w:right w:type="dxa" w:w="140"/>
            </w:tcMar>
          </w:tcPr>
          <w:p>
            <w:pPr>
              <w:spacing w:line="250"/>
            </w:pPr>
            <w:r>
              <w:rPr>
                <w:rFonts w:ascii="Calibri" w:cs="Calibri" w:eastAsia="Calibri" w:hAnsi="Calibri"/>
                <w:color w:val="B3241F"/>
                <w:sz w:val="18"/>
                <w:szCs w:val="18"/>
              </w:rPr>
              <w:t xml:space="preserve">Consultation BCEAO/UEMOA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95" w:before="175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6.  Les quatre prochaines étapes</w:t>
      </w:r>
    </w:p>
    <w:p>
      <w:pPr>
        <w:pStyle w:val="ListParagraph"/>
        <w:numPr>
          <w:ilvl w:val="0"/>
          <w:numId w:val="1"/>
        </w:numPr>
        <w:spacing w:after="58" w:line="270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Essayer l'application sur un vrai téléphone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— jamais fait, et tout le reste en dépend.</w:t>
      </w:r>
    </w:p>
    <w:p>
      <w:pPr>
        <w:pStyle w:val="ListParagraph"/>
        <w:numPr>
          <w:ilvl w:val="0"/>
          <w:numId w:val="1"/>
        </w:numPr>
        <w:spacing w:after="58" w:line="270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Arbitrer les règles « à définir »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: frais d'annulation, délai d'inactivité, arrondi. Elles sont la substance des CGU.</w:t>
      </w:r>
    </w:p>
    <w:p>
      <w:pPr>
        <w:pStyle w:val="ListParagraph"/>
        <w:numPr>
          <w:ilvl w:val="0"/>
          <w:numId w:val="1"/>
        </w:numPr>
        <w:spacing w:after="58" w:line="270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Consultation juridique BCEAO/UEMOA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avant toute ouverture au public.</w:t>
      </w:r>
    </w:p>
    <w:p>
      <w:pPr>
        <w:pStyle w:val="ListParagraph"/>
        <w:numPr>
          <w:ilvl w:val="0"/>
          <w:numId w:val="1"/>
        </w:numPr>
        <w:spacing w:after="58" w:line="270"/>
      </w:pP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Contractualiser une passerelle SMS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 — sans elle, aucune inscription ni connexion admin n'est possible.</w:t>
      </w:r>
    </w:p>
    <w:p>
      <w:pPr>
        <w:spacing w:after="12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FF6E2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9A6C00"/>
                <w:spacing w:val="20"/>
                <w:sz w:val="17"/>
                <w:szCs w:val="17"/>
              </w:rPr>
              <w:t xml:space="preserve">À RETENIR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9A6C00"/>
                <w:sz w:val="20"/>
                <w:szCs w:val="20"/>
              </w:rPr>
              <w:t xml:space="preserve">Le logiciel n'est plus ce qui bloque. </w:t>
            </w:r>
            <w:r>
              <w:rPr>
                <w:rFonts w:ascii="Calibri" w:cs="Calibri" w:eastAsia="Calibri" w:hAnsi="Calibri"/>
                <w:color w:val="20344A"/>
                <w:sz w:val="20"/>
                <w:szCs w:val="20"/>
              </w:rPr>
              <w:t xml:space="preserve">Sur les prochaines étapes, une seule relève du développement. Ce sont vos démarches, contrats et décisions de gestion qui commandent désormais le calendrier.</w:t>
            </w:r>
          </w:p>
        </w:tc>
      </w:tr>
    </w:tbl>
    <w:p>
      <w:pPr>
        <w:spacing w:after="11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/>
      </w:r>
    </w:p>
    <w:p>
      <w:pPr>
        <w:spacing w:after="95" w:before="175"/>
      </w:pPr>
      <w:r>
        <w:rPr>
          <w:rFonts w:ascii="Calibri" w:cs="Calibri" w:eastAsia="Calibri" w:hAnsi="Calibri"/>
          <w:b/>
          <w:bCs/>
          <w:color w:val="003A70"/>
          <w:sz w:val="24"/>
          <w:szCs w:val="24"/>
        </w:rPr>
        <w:t xml:space="preserve">7.  Installer et tester</w:t>
      </w:r>
    </w:p>
    <w:p>
      <w:pPr>
        <w:spacing w:after="100" w:line="276"/>
      </w:pPr>
      <w:r>
        <w:rPr>
          <w:rFonts w:ascii="Calibri" w:cs="Calibri" w:eastAsia="Calibri" w:hAnsi="Calibri"/>
          <w:color w:val="20344A"/>
          <w:sz w:val="20"/>
          <w:szCs w:val="20"/>
        </w:rPr>
        <w:t xml:space="preserve">Commandes pour Windows (cmd). PC et téléphone sur le </w:t>
      </w: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même Wi-Fi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. Guide détaillé pas à pas : </w:t>
      </w:r>
      <w:r>
        <w:rPr>
          <w:rFonts w:ascii="Calibri" w:cs="Calibri" w:eastAsia="Calibri" w:hAnsi="Calibri"/>
          <w:b/>
          <w:bCs/>
          <w:color w:val="20344A"/>
          <w:sz w:val="20"/>
          <w:szCs w:val="20"/>
        </w:rPr>
        <w:t xml:space="preserve">docs/guide-essai.md</w:t>
      </w:r>
      <w:r>
        <w:rPr>
          <w:rFonts w:ascii="Calibri" w:cs="Calibri" w:eastAsia="Calibri" w:hAnsi="Calibri"/>
          <w:color w:val="20344A"/>
          <w:sz w:val="20"/>
          <w:szCs w:val="20"/>
        </w:rPr>
        <w:t xml:space="preserve">.</w:t>
      </w:r>
    </w:p>
    <w:p>
      <w:pPr>
        <w:spacing w:after="55" w:line="276"/>
      </w:pPr>
      <w:r>
        <w:rPr>
          <w:rFonts w:ascii="Calibri" w:cs="Calibri" w:eastAsia="Calibri" w:hAnsi="Calibri"/>
          <w:b/>
          <w:bCs/>
          <w:color w:val="003A70"/>
          <w:sz w:val="20"/>
          <w:szCs w:val="20"/>
        </w:rPr>
        <w:t xml:space="preserve">①  Installer les 4 outils</w:t>
      </w:r>
    </w:p>
    <w:p>
      <w:pPr>
        <w:spacing w:after="40" w:line="276"/>
      </w:pPr>
      <w:r>
        <w:rPr>
          <w:rFonts w:ascii="Calibri" w:cs="Calibri" w:eastAsia="Calibri" w:hAnsi="Calibri"/>
          <w:color w:val="20344A"/>
          <w:sz w:val="17"/>
          <w:szCs w:val="17"/>
        </w:rPr>
        <w:t xml:space="preserve">Node.js (version LTS) — nodejs.org   ·   Git — git-scm.com   ·   Expo Go sur le téléphone (Play Store)</w:t>
      </w:r>
    </w:p>
    <w:p>
      <w:pPr>
        <w:spacing w:after="45" w:line="276"/>
      </w:pPr>
      <w:r>
        <w:rPr>
          <w:rFonts w:ascii="Calibri" w:cs="Calibri" w:eastAsia="Calibri" w:hAnsi="Calibri"/>
          <w:b/>
          <w:bCs/>
          <w:color w:val="20344A"/>
          <w:sz w:val="17"/>
          <w:szCs w:val="17"/>
        </w:rPr>
        <w:t xml:space="preserve">PostgreSQL 17</w:t>
      </w:r>
      <w:r>
        <w:rPr>
          <w:rFonts w:ascii="Calibri" w:cs="Calibri" w:eastAsia="Calibri" w:hAnsi="Calibri"/>
          <w:color w:val="20344A"/>
          <w:sz w:val="17"/>
          <w:szCs w:val="17"/>
        </w:rPr>
        <w:t xml:space="preserve"> — enterprisedb.com/downloads/postgres-postgresql-downloads, colonne Windows x86-64. </w:t>
      </w:r>
      <w:r>
        <w:rPr>
          <w:rFonts w:ascii="Calibri" w:cs="Calibri" w:eastAsia="Calibri" w:hAnsi="Calibri"/>
          <w:b/>
          <w:bCs/>
          <w:color w:val="20344A"/>
          <w:sz w:val="17"/>
          <w:szCs w:val="17"/>
        </w:rPr>
        <w:t xml:space="preserve">Notez le mot de passe « postgres » demandé</w:t>
      </w:r>
      <w:r>
        <w:rPr>
          <w:rFonts w:ascii="Calibri" w:cs="Calibri" w:eastAsia="Calibri" w:hAnsi="Calibri"/>
          <w:color w:val="20344A"/>
          <w:sz w:val="17"/>
          <w:szCs w:val="17"/>
        </w:rPr>
        <w:t xml:space="preserve">, gardez le port 5432, décochez Stack Builder. Puis, dans cmd :</w:t>
      </w:r>
    </w:p>
    <w:p>
      <w:pPr>
        <w:shd w:fill="F2F6FA" w:val="clear"/>
        <w:spacing w:after="105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set PATH=%PATH%;C:\Program Files\PostgreSQL\17\bin</w:t>
      </w:r>
    </w:p>
    <w:p>
      <w:pPr>
        <w:spacing w:after="55" w:line="276"/>
      </w:pPr>
      <w:r>
        <w:rPr>
          <w:rFonts w:ascii="Calibri" w:cs="Calibri" w:eastAsia="Calibri" w:hAnsi="Calibri"/>
          <w:b/>
          <w:bCs/>
          <w:color w:val="003A70"/>
          <w:sz w:val="20"/>
          <w:szCs w:val="20"/>
        </w:rPr>
        <w:t xml:space="preserve">②  Créer la base — une seule fois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psql -U postgres -c "CREATE USER kkp WITH PASSWORD 'kkp' CREATEDB;"</w:t>
      </w:r>
    </w:p>
    <w:p>
      <w:pPr>
        <w:shd w:fill="F2F6FA" w:val="clear"/>
        <w:spacing w:after="105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psql -U postgres -c "CREATE DATABASE kaynakaynapay OWNER kkp;"</w:t>
      </w:r>
    </w:p>
    <w:p>
      <w:pPr>
        <w:spacing w:after="55" w:line="276"/>
      </w:pPr>
      <w:r>
        <w:rPr>
          <w:rFonts w:ascii="Calibri" w:cs="Calibri" w:eastAsia="Calibri" w:hAnsi="Calibri"/>
          <w:b/>
          <w:bCs/>
          <w:color w:val="003A70"/>
          <w:sz w:val="20"/>
          <w:szCs w:val="20"/>
        </w:rPr>
        <w:t xml:space="preserve">③  La plateforme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git clone -b claude/kayna-kayna-pay-presentation-gp4lgf https://github.com/mly-dev/projet.git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cd projet\kayna-kayna-pay\plateforme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copy .env.example .env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npm install &amp;&amp; npm run verifier</w:t>
      </w:r>
    </w:p>
    <w:p>
      <w:pPr>
        <w:shd w:fill="F2F6FA" w:val="clear"/>
        <w:spacing w:after="105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npm run db:migrer &amp;&amp; npm run db:seed &amp;&amp; npm run dev</w:t>
      </w:r>
    </w:p>
    <w:p>
      <w:pPr>
        <w:spacing w:after="55" w:line="276"/>
      </w:pPr>
      <w:r>
        <w:rPr>
          <w:rFonts w:ascii="Calibri" w:cs="Calibri" w:eastAsia="Calibri" w:hAnsi="Calibri"/>
          <w:b/>
          <w:bCs/>
          <w:color w:val="003A70"/>
          <w:sz w:val="20"/>
          <w:szCs w:val="20"/>
        </w:rPr>
        <w:t xml:space="preserve">④  L'application mobile — 2ᵉ fenêtre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cd projet\kayna-kayna-pay\mobile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copy .env.example .env      puis mettez-y l'IP du PC (ipconfig)</w:t>
      </w:r>
    </w:p>
    <w:p>
      <w:pPr>
        <w:shd w:fill="F2F6FA" w:val="clear"/>
        <w:spacing w:after="95" w:line="250"/>
      </w:pPr>
      <w:r>
        <w:rPr>
          <w:rFonts w:ascii="Consolas" w:cs="Consolas" w:eastAsia="Consolas" w:hAnsi="Consolas"/>
          <w:color w:val="20344A"/>
          <w:sz w:val="14"/>
          <w:szCs w:val="14"/>
        </w:rPr>
        <w:t xml:space="preserve">  npm install &amp;&amp; npx expo start</w:t>
      </w:r>
    </w:p>
    <w:p>
      <w:pPr>
        <w:spacing w:after="40" w:line="276"/>
      </w:pPr>
      <w:r>
        <w:rPr>
          <w:rFonts w:ascii="Calibri" w:cs="Calibri" w:eastAsia="Calibri" w:hAnsi="Calibri"/>
          <w:b/>
          <w:bCs/>
          <w:color w:val="20344A"/>
          <w:sz w:val="17"/>
          <w:szCs w:val="17"/>
        </w:rPr>
        <w:t xml:space="preserve">En cas de blocage : </w:t>
      </w:r>
      <w:r>
        <w:rPr>
          <w:rFonts w:ascii="Calibri" w:cs="Calibri" w:eastAsia="Calibri" w:hAnsi="Calibri"/>
          <w:b/>
          <w:bCs/>
          <w:color w:val="005CA9"/>
          <w:sz w:val="17"/>
          <w:szCs w:val="17"/>
        </w:rPr>
        <w:t xml:space="preserve">npm run verifier</w:t>
      </w:r>
      <w:r>
        <w:rPr>
          <w:rFonts w:ascii="Calibri" w:cs="Calibri" w:eastAsia="Calibri" w:hAnsi="Calibri"/>
          <w:color w:val="20344A"/>
          <w:sz w:val="17"/>
          <w:szCs w:val="17"/>
        </w:rPr>
        <w:t xml:space="preserve"> contrôle tout et affiche la commande qui répare. Les codes SMS s'affichent dans la fenêtre de la plateforme, pas sur un vrai téléphone.</w:t>
      </w:r>
    </w:p>
    <w:sectPr>
      <w:pgSz w:w="11906" w:h="16838" w:orient="portrait"/>
      <w:pgMar w:top="850" w:right="1000" w:bottom="6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Kayna Kayna Pay — l'essentiel</dc:title>
  <dc:creator>Kayna Kayna Pay</dc:creator>
  <cp:lastModifiedBy>Un-named</cp:lastModifiedBy>
  <cp:revision>1</cp:revision>
  <dcterms:created xsi:type="dcterms:W3CDTF">2026-08-19T13:15:01.369Z</dcterms:created>
  <dcterms:modified xsi:type="dcterms:W3CDTF">2026-08-19T13:15:01.369Z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