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pPr>
    </w:p>
    <w:p>
      <w:pPr>
        <w:jc w:val="center"/>
      </w:pPr>
      <w:r>
        <w:rPr>
          <w:b/>
          <w:bCs/>
          <w:color w:val="0056A4"/>
          <w:sz w:val="72"/>
          <w:szCs w:val="72"/>
        </w:rPr>
        <w:t xml:space="preserve">KAYNA KAYNA PAY</w:t>
      </w:r>
    </w:p>
    <w:p>
      <w:pPr>
        <w:spacing w:before="200"/>
        <w:jc w:val="center"/>
      </w:pPr>
      <w:r>
        <w:rPr>
          <w:i/>
          <w:iCs/>
          <w:color w:val="555555"/>
          <w:sz w:val="32"/>
          <w:szCs w:val="32"/>
        </w:rPr>
        <w:t xml:space="preserve">« Petit à petit, paye »</w:t>
      </w:r>
    </w:p>
    <w:p>
      <w:pPr>
        <w:pBdr>
          <w:top w:val="single" w:color="0056A4" w:sz="8"/>
          <w:bottom w:val="single" w:color="0056A4" w:sz="8"/>
        </w:pBdr>
        <w:spacing w:before="600"/>
        <w:jc w:val="center"/>
      </w:pPr>
      <w:r>
        <w:rPr>
          <w:b/>
          <w:bCs/>
          <w:sz w:val="30"/>
          <w:szCs w:val="30"/>
        </w:rPr>
        <w:t xml:space="preserve">Document de présentation du projet</w:t>
      </w:r>
    </w:p>
    <w:p>
      <w:pPr>
        <w:spacing w:before="500"/>
        <w:jc w:val="center"/>
      </w:pPr>
      <w:r>
        <w:rPr>
          <w:color w:val="555555"/>
          <w:sz w:val="26"/>
          <w:szCs w:val="26"/>
        </w:rPr>
        <w:t xml:space="preserve">La première plateforme d'achat par paiement progressif au Niger</w:t>
      </w:r>
    </w:p>
    <w:p>
      <w:pPr>
        <w:spacing w:before="1200"/>
        <w:jc w:val="center"/>
      </w:pPr>
      <w:r>
        <w:rPr>
          <w:b/>
          <w:bCs/>
          <w:i/>
          <w:iCs/>
          <w:color w:val="0056A4"/>
          <w:sz w:val="28"/>
          <w:szCs w:val="28"/>
        </w:rPr>
        <w:t xml:space="preserve">« Kayan si djineh koy yan gandji »</w:t>
      </w:r>
    </w:p>
    <w:p>
      <w:pPr>
        <w:jc w:val="center"/>
      </w:pPr>
      <w:r>
        <w:rPr>
          <w:i/>
          <w:iCs/>
          <w:color w:val="555555"/>
          <w:sz w:val="24"/>
          <w:szCs w:val="24"/>
        </w:rPr>
        <w:t xml:space="preserve">Faire petit n'empêche pas d'avancer</w:t>
      </w:r>
    </w:p>
    <w:p>
      <w:pPr>
        <w:spacing w:before="1400"/>
        <w:jc w:val="center"/>
      </w:pPr>
      <w:r>
        <w:rPr>
          <w:color w:val="555555"/>
          <w:sz w:val="22"/>
          <w:szCs w:val="22"/>
        </w:rPr>
        <w:t xml:space="preserve">Niamey, Niger — Août 2026</w:t>
      </w:r>
    </w:p>
    <w:p>
      <w:r>
        <w:br w:type="page"/>
      </w:r>
    </w:p>
    <w:p>
      <w:pPr>
        <w:pStyle w:val="Heading1"/>
        <w:spacing w:after="200" w:before="400"/>
      </w:pPr>
      <w:r>
        <w:rPr>
          <w:b/>
          <w:bCs/>
          <w:color w:val="0056A4"/>
        </w:rPr>
        <w:t xml:space="preserve">1. Résumé du projet</w:t>
      </w:r>
    </w:p>
    <w:p>
      <w:pPr>
        <w:spacing w:after="160" w:line="300"/>
        <w:jc w:val="both"/>
      </w:pPr>
      <w:r>
        <w:rPr>
          <w:sz w:val="22"/>
          <w:szCs w:val="22"/>
        </w:rPr>
        <w:t xml:space="preserve">Kayna Kayna Pay (« petit à petit, paye » en zarma) est une plateforme mobile qui permet à toute personne d'acheter un produit ou un service en payant progressivement, à son rythme et selon sa fréquence, jusqu'à atteindre le montant total. Une fois la somme complétée, le client reçoit son produit ou son service. Ce modèle, connu à l'international sous le nom de « save now, buy later » (épargner maintenant, acheter plus tard), est une première au Niger.</w:t>
      </w:r>
    </w:p>
    <w:p>
      <w:pPr>
        <w:spacing w:after="160" w:line="300"/>
        <w:jc w:val="both"/>
      </w:pPr>
      <w:r>
        <w:rPr>
          <w:sz w:val="22"/>
          <w:szCs w:val="22"/>
        </w:rPr>
        <w:t xml:space="preserve">La plateforme met en relation des clients et des vendeurs partenaires (commerçants, institutions, prestataires de services) autour d'un cadre de confiance : le client est certain de recevoir son produit une fois le paiement complété, et le vendeur est certain d'être payé. Les versements s'effectuent par mobile money (NITA, Amana, Wave), les moyens de paiement les plus répandus dans le pays.</w:t>
      </w:r>
    </w:p>
    <w:p>
      <w:pPr>
        <w:spacing w:after="160" w:line="300"/>
        <w:jc w:val="both"/>
      </w:pPr>
      <w:r>
        <w:rPr>
          <w:b/>
          <w:bCs/>
          <w:sz w:val="22"/>
          <w:szCs w:val="22"/>
        </w:rPr>
        <w:t xml:space="preserve">Notre ambition : </w:t>
      </w:r>
      <w:r>
        <w:rPr>
          <w:sz w:val="22"/>
          <w:szCs w:val="22"/>
        </w:rPr>
        <w:t xml:space="preserve">être les pionniers et le leader de ce marché au Niger dès le lancement, puis étendre le modèle à l'échelle panafricaine.</w:t>
      </w:r>
    </w:p>
    <w:p>
      <w:pPr>
        <w:pStyle w:val="Heading1"/>
        <w:spacing w:after="200" w:before="400"/>
      </w:pPr>
      <w:r>
        <w:rPr>
          <w:b/>
          <w:bCs/>
          <w:color w:val="0056A4"/>
        </w:rPr>
        <w:t xml:space="preserve">2. Contexte et problème identifié</w:t>
      </w:r>
    </w:p>
    <w:p>
      <w:pPr>
        <w:pStyle w:val="Heading2"/>
        <w:spacing w:after="150" w:before="300"/>
      </w:pPr>
      <w:r>
        <w:rPr>
          <w:b/>
          <w:bCs/>
          <w:color w:val="0056A4"/>
        </w:rPr>
        <w:t xml:space="preserve">2.1 Une pratique déjà ancrée, mais informelle et risquée</w:t>
      </w:r>
    </w:p>
    <w:p>
      <w:pPr>
        <w:spacing w:after="160" w:line="300"/>
        <w:jc w:val="both"/>
      </w:pPr>
      <w:r>
        <w:rPr>
          <w:sz w:val="22"/>
          <w:szCs w:val="22"/>
        </w:rPr>
        <w:t xml:space="preserve">L'observation du terrain montre que le paiement progressif est déjà une pratique courante au Niger, mais sous des formes archaïques et non sécurisées. De nombreuses femmes, par exemple, remettent de l'argent petit à petit à une vendeuse jusqu'à compléter le prix d'un lot d'ustensiles, puis récupèrent leur achat. Aucune trace écrite, aucune garantie : tout repose sur la confiance personnelle.</w:t>
      </w:r>
    </w:p>
    <w:p>
      <w:pPr>
        <w:spacing w:after="160" w:line="300"/>
        <w:jc w:val="both"/>
      </w:pPr>
      <w:r>
        <w:rPr>
          <w:sz w:val="22"/>
          <w:szCs w:val="22"/>
        </w:rPr>
        <w:t xml:space="preserve">Ces dernières années, des réseaux informels de vente à paiement échelonné se sont développés sur WhatsApp. Malheureusement, les arnaques y sont fréquentes : un client peut finir de payer et voir le vendeur disparaître avec son argent. Cette situation crée une méfiance généralisée qui freine une pratique pourtant utile et demandée.</w:t>
      </w:r>
    </w:p>
    <w:p>
      <w:pPr>
        <w:pStyle w:val="Heading2"/>
        <w:spacing w:after="150" w:before="300"/>
      </w:pPr>
      <w:r>
        <w:rPr>
          <w:b/>
          <w:bCs/>
          <w:color w:val="0056A4"/>
        </w:rPr>
        <w:t xml:space="preserve">2.2 Un pouvoir d'achat contraint</w:t>
      </w:r>
    </w:p>
    <w:p>
      <w:pPr>
        <w:spacing w:after="160" w:line="300"/>
        <w:jc w:val="both"/>
      </w:pPr>
      <w:r>
        <w:rPr>
          <w:sz w:val="22"/>
          <w:szCs w:val="22"/>
        </w:rPr>
        <w:t xml:space="preserve">Une grande partie de la population ne peut pas se permettre d'acheter d'emblée des biens coûteux : téléphone, ordinateur, moto, voiture, électroménager, billet d'avion, assurance, etc. Faute de solution de crédit accessible, ces achats sont simplement repoussés ou abandonnés. Le paiement progressif est la réponse naturelle à cette contrainte, à condition d'être encadré et sécurisé.</w:t>
      </w:r>
    </w:p>
    <w:p>
      <w:pPr>
        <w:pStyle w:val="Heading2"/>
        <w:spacing w:after="150" w:before="300"/>
      </w:pPr>
      <w:r>
        <w:rPr>
          <w:b/>
          <w:bCs/>
          <w:color w:val="0056A4"/>
        </w:rPr>
        <w:t xml:space="preserve">2.3 Le problème en une phrase</w:t>
      </w:r>
    </w:p>
    <w:p>
      <w:pPr>
        <w:spacing w:after="160" w:line="300"/>
        <w:jc w:val="both"/>
      </w:pPr>
      <w:r>
        <w:rPr>
          <w:i/>
          <w:iCs/>
          <w:sz w:val="22"/>
          <w:szCs w:val="22"/>
        </w:rPr>
        <w:t xml:space="preserve">Il existe une forte demande pour l'achat par paiement progressif au Niger, mais aucune solution structurée, sécurisée et de confiance ne l'encadre aujourd'hui.</w:t>
      </w:r>
    </w:p>
    <w:p>
      <w:pPr>
        <w:pStyle w:val="Heading1"/>
        <w:spacing w:after="200" w:before="400"/>
      </w:pPr>
      <w:r>
        <w:rPr>
          <w:b/>
          <w:bCs/>
          <w:color w:val="0056A4"/>
        </w:rPr>
        <w:t xml:space="preserve">3. La solution Kayna Kayna Pay</w:t>
      </w:r>
    </w:p>
    <w:p>
      <w:pPr>
        <w:pStyle w:val="Heading2"/>
        <w:spacing w:after="150" w:before="300"/>
      </w:pPr>
      <w:r>
        <w:rPr>
          <w:b/>
          <w:bCs/>
          <w:color w:val="0056A4"/>
        </w:rPr>
        <w:t xml:space="preserve">3.1 Le principe</w:t>
      </w:r>
    </w:p>
    <w:p>
      <w:pPr>
        <w:spacing w:after="160" w:line="300"/>
        <w:jc w:val="both"/>
      </w:pPr>
      <w:r>
        <w:rPr>
          <w:sz w:val="22"/>
          <w:szCs w:val="22"/>
        </w:rPr>
        <w:t xml:space="preserve">Kayna Kayna Pay est une application mobile sur laquelle le client parcourt un catalogue de produits et services proposés par des vendeurs partenaires, choisit ce qu'il souhaite acquérir, puis alimente son achat par des versements en mobile money, du montant et à la fréquence de son choix — même 100 F dans la journée. Son portefeuille dédié à l'achat s'incrémente au fil des versements. Lorsque le montant total est atteint, le client reçoit son produit ou active son service.</w:t>
      </w:r>
    </w:p>
    <w:p>
      <w:pPr>
        <w:pStyle w:val="Heading2"/>
        <w:spacing w:after="150" w:before="300"/>
      </w:pPr>
      <w:r>
        <w:rPr>
          <w:b/>
          <w:bCs/>
          <w:color w:val="0056A4"/>
        </w:rPr>
        <w:t xml:space="preserve">3.2 Ce que la plateforme apporte</w:t>
      </w:r>
    </w:p>
    <w:p>
      <w:pPr>
        <w:pStyle w:val="ListParagraph"/>
        <w:numPr>
          <w:ilvl w:val="0"/>
          <w:numId w:val="2"/>
        </w:numPr>
        <w:spacing w:after="100"/>
      </w:pPr>
      <w:r>
        <w:rPr>
          <w:sz w:val="22"/>
          <w:szCs w:val="22"/>
        </w:rPr>
        <w:t xml:space="preserve">Au client : la possibilité d'acquérir des biens coûteux sans crédit ni endettement, avec la garantie de recevoir son produit et un suivi transparent de ses versements.</w:t>
      </w:r>
    </w:p>
    <w:p>
      <w:pPr>
        <w:pStyle w:val="ListParagraph"/>
        <w:numPr>
          <w:ilvl w:val="0"/>
          <w:numId w:val="2"/>
        </w:numPr>
        <w:spacing w:after="100"/>
      </w:pPr>
      <w:r>
        <w:rPr>
          <w:sz w:val="22"/>
          <w:szCs w:val="22"/>
        </w:rPr>
        <w:t xml:space="preserve">Au vendeur partenaire : un canal de vente supplémentaire, l'accès à une clientèle qui ne pouvait pas acheter comptant, et la certitude d'être payé intégralement avant la livraison.</w:t>
      </w:r>
    </w:p>
    <w:p>
      <w:pPr>
        <w:pStyle w:val="ListParagraph"/>
        <w:numPr>
          <w:ilvl w:val="0"/>
          <w:numId w:val="2"/>
        </w:numPr>
        <w:spacing w:after="160"/>
      </w:pPr>
      <w:r>
        <w:rPr>
          <w:sz w:val="22"/>
          <w:szCs w:val="22"/>
        </w:rPr>
        <w:t xml:space="preserve">À l'écosystème : la formalisation d'une pratique populaire existante, dans un cadre de confiance où client, vendeur et plateforme sont tous gagnants.</w:t>
      </w:r>
    </w:p>
    <w:p>
      <w:pPr>
        <w:pStyle w:val="Heading2"/>
        <w:spacing w:after="150" w:before="300"/>
      </w:pPr>
      <w:r>
        <w:rPr>
          <w:b/>
          <w:bCs/>
          <w:color w:val="0056A4"/>
        </w:rPr>
        <w:t xml:space="preserve">3.3 Une offre universelle</w:t>
      </w:r>
    </w:p>
    <w:p>
      <w:pPr>
        <w:spacing w:after="160" w:line="300"/>
        <w:jc w:val="both"/>
      </w:pPr>
      <w:r>
        <w:rPr>
          <w:sz w:val="22"/>
          <w:szCs w:val="22"/>
        </w:rPr>
        <w:t xml:space="preserve">Le modèle s'applique à tout type de produit ou de service : téléphones, ordinateurs, motos, voitures, ustensiles de cuisine, électroménager, billets d'avion ou de transport, assurances, et plus encore. La priorité sera donnée aux biens à valeur élevée, là où le besoin de paiement progressif est le plus fort.</w:t>
      </w:r>
    </w:p>
    <w:p>
      <w:pPr>
        <w:pStyle w:val="Heading1"/>
        <w:spacing w:after="200" w:before="400"/>
      </w:pPr>
      <w:r>
        <w:rPr>
          <w:b/>
          <w:bCs/>
          <w:color w:val="0056A4"/>
        </w:rPr>
        <w:t xml:space="preserve">4. Marché et positionnement</w:t>
      </w:r>
    </w:p>
    <w:p>
      <w:pPr>
        <w:pStyle w:val="Heading2"/>
        <w:spacing w:after="150" w:before="300"/>
      </w:pPr>
      <w:r>
        <w:rPr>
          <w:b/>
          <w:bCs/>
          <w:color w:val="0056A4"/>
        </w:rPr>
        <w:t xml:space="preserve">4.1 Un marché ouvert, sans concurrent structuré</w:t>
      </w:r>
    </w:p>
    <w:p>
      <w:pPr>
        <w:spacing w:after="160" w:line="300"/>
        <w:jc w:val="both"/>
      </w:pPr>
      <w:r>
        <w:rPr>
          <w:sz w:val="22"/>
          <w:szCs w:val="22"/>
        </w:rPr>
        <w:t xml:space="preserve">Aucun acteur ne propose aujourd'hui ce service de manière structurée au Niger. Les seules « alternatives » sont les arrangements informels et les réseaux WhatsApp, précisément ceux qui souffrent d'un déficit de confiance. Kayna Kayna Pay a donc l'opportunité d'occuper le terrain en premier, d'imposer sa marque et de capter le marché avant l'arrivée d'imitateurs.</w:t>
      </w:r>
    </w:p>
    <w:p>
      <w:pPr>
        <w:pStyle w:val="Heading2"/>
        <w:spacing w:after="150" w:before="300"/>
      </w:pPr>
      <w:r>
        <w:rPr>
          <w:b/>
          <w:bCs/>
          <w:color w:val="0056A4"/>
        </w:rPr>
        <w:t xml:space="preserve">4.2 Inspiration et preuve de concept régionale</w:t>
      </w:r>
    </w:p>
    <w:p>
      <w:pPr>
        <w:spacing w:after="160" w:line="300"/>
        <w:jc w:val="both"/>
      </w:pPr>
      <w:r>
        <w:rPr>
          <w:sz w:val="22"/>
          <w:szCs w:val="22"/>
        </w:rPr>
        <w:t xml:space="preserve">Le modèle s'inspire de Molo Molo Pay en Côte d'Ivoire, qui a démontré la viabilité du « save now, buy later » dans un contexte ouest-africain comparable (forte pénétration du mobile money, pratiques d'épargne informelle répandues, demande de biens d'équipement). Kayna Kayna Pay adapte ce modèle aux réalités nigériennes : langues locales, opérateurs de mobile money du pays, habitudes de consommation locales.</w:t>
      </w:r>
    </w:p>
    <w:p>
      <w:pPr>
        <w:pStyle w:val="Heading2"/>
        <w:spacing w:after="150" w:before="300"/>
      </w:pPr>
      <w:r>
        <w:rPr>
          <w:b/>
          <w:bCs/>
          <w:color w:val="0056A4"/>
        </w:rPr>
        <w:t xml:space="preserve">4.3 Cibles principales</w:t>
      </w:r>
    </w:p>
    <w:p>
      <w:pPr>
        <w:spacing w:after="160" w:line="300"/>
        <w:jc w:val="both"/>
      </w:pPr>
      <w:r>
        <w:rPr>
          <w:sz w:val="22"/>
          <w:szCs w:val="22"/>
        </w:rPr>
        <w:t xml:space="preserve">Nos utilisateurs prioritaires sont les personnes à revenus modestes ou irréguliers qui pratiquent déjà l'épargne-achat de manière informelle — en particulier les femmes, très actives dans ces circuits —, les jeunes actifs souhaitant s'équiper (téléphone, ordinateur, moto), et plus largement toute personne souhaitant lisser une dépense importante dans le temps. Côté offre, nos cibles sont les commerçants, boutiques, concessionnaires et institutions (assurance, transport) désireux d'élargir leur clientèle.</w:t>
      </w:r>
    </w:p>
    <w:p>
      <w:pPr>
        <w:pStyle w:val="Heading1"/>
        <w:spacing w:after="200" w:before="400"/>
      </w:pPr>
      <w:r>
        <w:rPr>
          <w:b/>
          <w:bCs/>
          <w:color w:val="0056A4"/>
        </w:rPr>
        <w:t xml:space="preserve">5. Modèle économique</w:t>
      </w:r>
    </w:p>
    <w:p>
      <w:pPr>
        <w:spacing w:after="160" w:line="300"/>
        <w:jc w:val="both"/>
      </w:pPr>
      <w:r>
        <w:rPr>
          <w:sz w:val="22"/>
          <w:szCs w:val="22"/>
        </w:rPr>
        <w:t xml:space="preserve">Le modèle de revenus est simple et transparent : les prix affichés sur la plateforme correspondent au prix du vendeur majoré d'une commission de 5 %, perçue par Kayna Kayna Pay. Le vendeur reçoit l'intégralité de son prix ; le client paie le prix affiché ; la plateforme se rémunère sur la différence.</w:t>
      </w:r>
    </w:p>
    <w:p>
      <w:pPr>
        <w:spacing w:after="160" w:line="300"/>
        <w:jc w:val="both"/>
      </w:pPr>
      <w:r>
        <w:rPr>
          <w:sz w:val="22"/>
          <w:szCs w:val="22"/>
        </w:rPr>
        <w:t xml:space="preserve">Les frais de dépôt mobile money restent à la charge du client, conformément aux usages en vigueur. À terme, des sources de revenus complémentaires pourront être étudiées : mise en avant de produits pour les partenaires, services premium, partenariats institutionnels.</w:t>
      </w:r>
    </w:p>
    <w:p>
      <w:pPr>
        <w:pStyle w:val="Heading1"/>
        <w:spacing w:after="200" w:before="400"/>
      </w:pPr>
      <w:r>
        <w:rPr>
          <w:b/>
          <w:bCs/>
          <w:color w:val="0056A4"/>
        </w:rPr>
        <w:t xml:space="preserve">6. Fonctionnement général (vue non technique)</w:t>
      </w:r>
    </w:p>
    <w:p>
      <w:pPr>
        <w:pStyle w:val="Heading2"/>
        <w:spacing w:after="150" w:before="300"/>
      </w:pPr>
      <w:r>
        <w:rPr>
          <w:b/>
          <w:bCs/>
          <w:color w:val="0056A4"/>
        </w:rPr>
        <w:t xml:space="preserve">6.1 Parcours du client</w:t>
      </w:r>
    </w:p>
    <w:p>
      <w:pPr>
        <w:spacing w:after="160" w:line="300"/>
        <w:jc w:val="both"/>
      </w:pPr>
      <w:r>
        <w:rPr>
          <w:sz w:val="22"/>
          <w:szCs w:val="22"/>
        </w:rPr>
        <w:t xml:space="preserve">Le client télécharge l'application, crée son compte, parcourt ou recherche des produits et services, et sélectionne son achat. Il effectue ensuite des versements par mobile money (NITA, Amana ou Wave) quand il le souhaite : il indique dans l'application son intention de verser, réalise le dépôt sur le compte de la plateforme depuis son application de mobile money, puis confirme. Le versement est vérifié et validé par notre équipe, et le solde de son achat est mis à jour en temps réel, avec notification. Lorsque le montant total est atteint, la commande est confirmée et le client reçoit son produit ou son service.</w:t>
      </w:r>
    </w:p>
    <w:p>
      <w:pPr>
        <w:pStyle w:val="Heading2"/>
        <w:spacing w:after="150" w:before="300"/>
      </w:pPr>
      <w:r>
        <w:rPr>
          <w:b/>
          <w:bCs/>
          <w:color w:val="0056A4"/>
        </w:rPr>
        <w:t xml:space="preserve">6.2 Espace partenaire</w:t>
      </w:r>
    </w:p>
    <w:p>
      <w:pPr>
        <w:spacing w:after="160" w:line="300"/>
        <w:jc w:val="both"/>
      </w:pPr>
      <w:r>
        <w:rPr>
          <w:sz w:val="22"/>
          <w:szCs w:val="22"/>
        </w:rPr>
        <w:t xml:space="preserve">Chaque vendeur partenaire dispose d'un espace dédié lui permettant d'ajouter et de gérer lui-même ses produits, de suivre les achats en cours sur ses articles et de constater les commandes finalisées.</w:t>
      </w:r>
    </w:p>
    <w:p>
      <w:pPr>
        <w:pStyle w:val="Heading2"/>
        <w:spacing w:after="150" w:before="300"/>
      </w:pPr>
      <w:r>
        <w:rPr>
          <w:b/>
          <w:bCs/>
          <w:color w:val="0056A4"/>
        </w:rPr>
        <w:t xml:space="preserve">6.3 Espace administrateur</w:t>
      </w:r>
    </w:p>
    <w:p>
      <w:pPr>
        <w:spacing w:after="160" w:line="300"/>
        <w:jc w:val="both"/>
      </w:pPr>
      <w:r>
        <w:rPr>
          <w:sz w:val="22"/>
          <w:szCs w:val="22"/>
        </w:rPr>
        <w:t xml:space="preserve">L'équipe Kayna Kayna Pay dispose d'un espace d'administration pour valider les versements, superviser les comptes clients et partenaires, gérer le catalogue et garantir le bon fonctionnement de l'ensemble.</w:t>
      </w:r>
    </w:p>
    <w:p>
      <w:pPr>
        <w:pStyle w:val="Heading1"/>
        <w:spacing w:after="200" w:before="400"/>
      </w:pPr>
      <w:r>
        <w:rPr>
          <w:b/>
          <w:bCs/>
          <w:color w:val="0056A4"/>
        </w:rPr>
        <w:t xml:space="preserve">7. Le cadre de confiance, notre différenciation</w:t>
      </w:r>
    </w:p>
    <w:p>
      <w:pPr>
        <w:spacing w:after="160" w:line="300"/>
        <w:jc w:val="both"/>
      </w:pPr>
      <w:r>
        <w:rPr>
          <w:sz w:val="22"/>
          <w:szCs w:val="22"/>
        </w:rPr>
        <w:t xml:space="preserve">La confiance est le cœur de notre proposition de valeur, et ce qui nous distingue radicalement des circuits informels. Elle repose sur plusieurs piliers : des conditions générales d'utilisation et une politique de confidentialité claires, encadrant les droits et devoirs de chacun ; des règles écrites et transparentes sur les cas particuliers (interruption des versements par le client, indisponibilité d'un produit, modalités de remboursement) ; un historique complet et consultable de chaque versement, valant preuve pour le client ; et la sélection rigoureuse de vendeurs partenaires vérifiés.</w:t>
      </w:r>
    </w:p>
    <w:p>
      <w:pPr>
        <w:spacing w:after="160" w:line="300"/>
        <w:jc w:val="both"/>
      </w:pPr>
      <w:r>
        <w:rPr>
          <w:sz w:val="22"/>
          <w:szCs w:val="22"/>
        </w:rPr>
        <w:t xml:space="preserve">Le projet veillera également à sa conformité avec la réglementation applicable aux services de paiement et à la collecte de fonds dans l'espace UEMOA, ce qui constituera un argument de crédibilité supplémentaire face aux pratiques informelles.</w:t>
      </w:r>
    </w:p>
    <w:p>
      <w:pPr>
        <w:pStyle w:val="Heading1"/>
        <w:spacing w:after="200" w:before="400"/>
      </w:pPr>
      <w:r>
        <w:rPr>
          <w:b/>
          <w:bCs/>
          <w:color w:val="0056A4"/>
        </w:rPr>
        <w:t xml:space="preserve">8. Identité de la marque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c>
          <w:tcPr>
            <w:tcW w:type="dxa" w:w="2800"/>
            <w:shd w:fill="EAF1F8" w:val="clear"/>
            <w:tcMar>
              <w:top w:type="dxa" w:w="100"/>
              <w:left w:type="dxa" w:w="150"/>
              <w:bottom w:type="dxa" w:w="100"/>
              <w:right w:type="dxa" w:w="150"/>
            </w:tcMar>
          </w:tcPr>
          <w:p>
            <w:r>
              <w:rPr>
                <w:b/>
                <w:bCs/>
                <w:color w:val="0056A4"/>
                <w:sz w:val="22"/>
                <w:szCs w:val="22"/>
              </w:rPr>
              <w:t xml:space="preserve">Nom</w:t>
            </w:r>
          </w:p>
        </w:tc>
        <w:tc>
          <w:tcPr>
            <w:tcW w:type="dxa" w:w="6560"/>
            <w:tcMar>
              <w:top w:type="dxa" w:w="100"/>
              <w:left w:type="dxa" w:w="150"/>
              <w:bottom w:type="dxa" w:w="100"/>
              <w:right w:type="dxa" w:w="150"/>
            </w:tcMar>
          </w:tcPr>
          <w:p>
            <w:r>
              <w:rPr>
                <w:sz w:val="22"/>
                <w:szCs w:val="22"/>
              </w:rPr>
              <w:t xml:space="preserve">Kayna Kayna Pay — « petit à petit, paye » (zarma)</w:t>
            </w:r>
          </w:p>
        </w:tc>
      </w:tr>
      <w:tr>
        <w:tc>
          <w:tcPr>
            <w:tcW w:type="dxa" w:w="2800"/>
            <w:shd w:fill="EAF1F8" w:val="clear"/>
            <w:tcMar>
              <w:top w:type="dxa" w:w="100"/>
              <w:left w:type="dxa" w:w="150"/>
              <w:bottom w:type="dxa" w:w="100"/>
              <w:right w:type="dxa" w:w="150"/>
            </w:tcMar>
          </w:tcPr>
          <w:p>
            <w:r>
              <w:rPr>
                <w:b/>
                <w:bCs/>
                <w:color w:val="0056A4"/>
                <w:sz w:val="22"/>
                <w:szCs w:val="22"/>
              </w:rPr>
              <w:t xml:space="preserve">Slogan</w:t>
            </w:r>
          </w:p>
        </w:tc>
        <w:tc>
          <w:tcPr>
            <w:tcW w:type="dxa" w:w="6560"/>
            <w:tcMar>
              <w:top w:type="dxa" w:w="100"/>
              <w:left w:type="dxa" w:w="150"/>
              <w:bottom w:type="dxa" w:w="100"/>
              <w:right w:type="dxa" w:w="150"/>
            </w:tcMar>
          </w:tcPr>
          <w:p>
            <w:r>
              <w:rPr>
                <w:sz w:val="22"/>
                <w:szCs w:val="22"/>
              </w:rPr>
              <w:t xml:space="preserve">« Kayan si djineh koy yan gandji » — Faire petit n'empêche pas d'avancer</w:t>
            </w:r>
          </w:p>
        </w:tc>
      </w:tr>
      <w:tr>
        <w:tc>
          <w:tcPr>
            <w:tcW w:type="dxa" w:w="2800"/>
            <w:shd w:fill="EAF1F8" w:val="clear"/>
            <w:tcMar>
              <w:top w:type="dxa" w:w="100"/>
              <w:left w:type="dxa" w:w="150"/>
              <w:bottom w:type="dxa" w:w="100"/>
              <w:right w:type="dxa" w:w="150"/>
            </w:tcMar>
          </w:tcPr>
          <w:p>
            <w:r>
              <w:rPr>
                <w:b/>
                <w:bCs/>
                <w:color w:val="0056A4"/>
                <w:sz w:val="22"/>
                <w:szCs w:val="22"/>
              </w:rPr>
              <w:t xml:space="preserve">Couleurs</w:t>
            </w:r>
          </w:p>
        </w:tc>
        <w:tc>
          <w:tcPr>
            <w:tcW w:type="dxa" w:w="6560"/>
            <w:tcMar>
              <w:top w:type="dxa" w:w="100"/>
              <w:left w:type="dxa" w:w="150"/>
              <w:bottom w:type="dxa" w:w="100"/>
              <w:right w:type="dxa" w:w="150"/>
            </w:tcMar>
          </w:tcPr>
          <w:p>
            <w:r>
              <w:rPr>
                <w:sz w:val="22"/>
                <w:szCs w:val="22"/>
              </w:rPr>
              <w:t xml:space="preserve">Bleu (bleu Ecobank) et blanc : confiance, sérieux, simplicité</w:t>
            </w:r>
          </w:p>
        </w:tc>
      </w:tr>
      <w:tr>
        <w:tc>
          <w:tcPr>
            <w:tcW w:type="dxa" w:w="2800"/>
            <w:shd w:fill="EAF1F8" w:val="clear"/>
            <w:tcMar>
              <w:top w:type="dxa" w:w="100"/>
              <w:left w:type="dxa" w:w="150"/>
              <w:bottom w:type="dxa" w:w="100"/>
              <w:right w:type="dxa" w:w="150"/>
            </w:tcMar>
          </w:tcPr>
          <w:p>
            <w:r>
              <w:rPr>
                <w:b/>
                <w:bCs/>
                <w:color w:val="0056A4"/>
                <w:sz w:val="22"/>
                <w:szCs w:val="22"/>
              </w:rPr>
              <w:t xml:space="preserve">Ton</w:t>
            </w:r>
          </w:p>
        </w:tc>
        <w:tc>
          <w:tcPr>
            <w:tcW w:type="dxa" w:w="6560"/>
            <w:tcMar>
              <w:top w:type="dxa" w:w="100"/>
              <w:left w:type="dxa" w:w="150"/>
              <w:bottom w:type="dxa" w:w="100"/>
              <w:right w:type="dxa" w:w="150"/>
            </w:tcMar>
          </w:tcPr>
          <w:p>
            <w:r>
              <w:rPr>
                <w:sz w:val="22"/>
                <w:szCs w:val="22"/>
              </w:rPr>
              <w:t xml:space="preserve">Proche, populaire, ancré dans les langues et réalités locales</w:t>
            </w:r>
          </w:p>
        </w:tc>
      </w:tr>
    </w:tbl>
    <w:p>
      <w:pPr>
        <w:spacing w:after="200"/>
      </w:pPr>
    </w:p>
    <w:p>
      <w:pPr>
        <w:spacing w:after="160" w:line="300"/>
        <w:jc w:val="both"/>
      </w:pPr>
      <w:r>
        <w:rPr>
          <w:sz w:val="22"/>
          <w:szCs w:val="22"/>
        </w:rPr>
        <w:t xml:space="preserve">Le choix d'un nom et d'un slogan en zarma n'est pas anodin : il ancre la marque dans la culture locale, la rend immédiatement compréhensible et mémorable pour notre cible, et affirme que ce service est fait par et pour les Nigériens.</w:t>
      </w:r>
    </w:p>
    <w:p>
      <w:pPr>
        <w:pStyle w:val="Heading1"/>
        <w:spacing w:after="200" w:before="400"/>
      </w:pPr>
      <w:r>
        <w:rPr>
          <w:b/>
          <w:bCs/>
          <w:color w:val="0056A4"/>
        </w:rPr>
        <w:t xml:space="preserve">9. Stratégie de communication et d'engagement</w:t>
      </w:r>
    </w:p>
    <w:p>
      <w:pPr>
        <w:spacing w:after="160" w:line="300"/>
        <w:jc w:val="both"/>
      </w:pPr>
      <w:r>
        <w:rPr>
          <w:sz w:val="22"/>
          <w:szCs w:val="22"/>
        </w:rPr>
        <w:t xml:space="preserve">Notre stratégie vise deux objectifs : faire connaître la plateforme et inciter à l'usage régulier, car la réussite du modèle repose sur la fréquence des versements. Elle combinera une communication de proximité (flyers, présence sur les marchés et lieux de commerce, bouche-à-oreille, relais auprès des groupements de femmes qui pratiquent déjà l'épargne-achat) et une communication digitale (réseaux sociaux, WhatsApp — précisément là où la demande s'exprime déjà).</w:t>
      </w:r>
    </w:p>
    <w:p>
      <w:pPr>
        <w:spacing w:after="160" w:line="300"/>
        <w:jc w:val="both"/>
      </w:pPr>
      <w:r>
        <w:rPr>
          <w:sz w:val="22"/>
          <w:szCs w:val="22"/>
        </w:rPr>
        <w:t xml:space="preserve">Au sein de l'application, des notifications en temps réel encourageront les utilisateurs à effectuer des versements réguliers, même modestes (« même 100 F aujourd'hui, c'est un pas de plus vers votre objectif »), transformant l'achat en une habitude quotidienne motivante. L'objectif est de bâtir un véritable écosystème où l'utilisateur pense à Kayna Kayna Pay pour tous ses besoins d'équipement.</w:t>
      </w:r>
    </w:p>
    <w:p>
      <w:pPr>
        <w:pStyle w:val="Heading1"/>
        <w:spacing w:after="200" w:before="400"/>
      </w:pPr>
      <w:r>
        <w:rPr>
          <w:b/>
          <w:bCs/>
          <w:color w:val="0056A4"/>
        </w:rPr>
        <w:t xml:space="preserve">10. Mission, vision et valeurs</w:t>
      </w:r>
    </w:p>
    <w:p>
      <w:pPr>
        <w:spacing w:after="160" w:line="300"/>
        <w:jc w:val="both"/>
      </w:pPr>
      <w:r>
        <w:rPr>
          <w:b/>
          <w:bCs/>
          <w:sz w:val="22"/>
          <w:szCs w:val="22"/>
        </w:rPr>
        <w:t xml:space="preserve">Notre mission : </w:t>
      </w:r>
      <w:r>
        <w:rPr>
          <w:sz w:val="22"/>
          <w:szCs w:val="22"/>
        </w:rPr>
        <w:t xml:space="preserve">démocratiser l'accès aux biens et services en permettant à chacun d'acheter à son rythme, dans un cadre sûr et transparent.</w:t>
      </w:r>
    </w:p>
    <w:p>
      <w:pPr>
        <w:spacing w:after="160" w:line="300"/>
        <w:jc w:val="both"/>
      </w:pPr>
      <w:r>
        <w:rPr>
          <w:b/>
          <w:bCs/>
          <w:sz w:val="22"/>
          <w:szCs w:val="22"/>
        </w:rPr>
        <w:t xml:space="preserve">Notre vision : </w:t>
      </w:r>
      <w:r>
        <w:rPr>
          <w:sz w:val="22"/>
          <w:szCs w:val="22"/>
        </w:rPr>
        <w:t xml:space="preserve">devenir la référence panafricaine de l'achat par paiement progressif, en partant du Niger pour s'étendre dans la sous-région, et démocratiser ainsi les achats et les paiements à l'échelle du continent.</w:t>
      </w:r>
    </w:p>
    <w:p>
      <w:pPr>
        <w:spacing w:after="160" w:line="300"/>
        <w:jc w:val="both"/>
      </w:pPr>
      <w:r>
        <w:rPr>
          <w:b/>
          <w:bCs/>
          <w:sz w:val="22"/>
          <w:szCs w:val="22"/>
        </w:rPr>
        <w:t xml:space="preserve">Nos valeurs : </w:t>
      </w:r>
      <w:r>
        <w:rPr>
          <w:sz w:val="22"/>
          <w:szCs w:val="22"/>
        </w:rPr>
        <w:t xml:space="preserve">confiance, accessibilité, ancrage local, transparence et progrès partagé — fidèles à notre slogan : faire petit n'empêche pas d'avancer.</w:t>
      </w:r>
    </w:p>
    <w:p>
      <w:pPr>
        <w:pStyle w:val="Heading1"/>
        <w:spacing w:after="200" w:before="400"/>
      </w:pPr>
      <w:r>
        <w:rPr>
          <w:b/>
          <w:bCs/>
          <w:color w:val="0056A4"/>
        </w:rPr>
        <w:t xml:space="preserve">11. Prochaines étapes</w:t>
      </w:r>
    </w:p>
    <w:p>
      <w:pPr>
        <w:spacing w:after="160" w:line="300"/>
        <w:jc w:val="both"/>
      </w:pPr>
      <w:r>
        <w:rPr>
          <w:sz w:val="22"/>
          <w:szCs w:val="22"/>
        </w:rPr>
        <w:t xml:space="preserve">Ce document présente le projet dans son ensemble, sans entrer dans la technique. Il sera suivi d'un cahier des charges détaillé qui précisera les fonctionnalités de l'application (catalogue, recherche, portefeuille, parcours de versement, espaces partenaire et administrateur), les parcours utilisateurs, les choix technologiques, les exigences de sécurité, ainsi que le planning de réalisation. En parallèle seront engagés la clarification du cadre juridique et réglementaire, la rédaction des conditions générales d'utilisation et de la politique de confidentialité, et les premiers contacts avec des vendeurs partenaires pilotes.</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start"/>
      <w:pPr>
        <w:ind w:left="504" w:hanging="288"/>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2026-08-04T01:00:35.180Z</dcterms:created>
  <dcterms:modified xsi:type="dcterms:W3CDTF">2026-08-04T01:00:35.208Z</dcterms:modified>
</cp:coreProperties>
</file>

<file path=docProps/custom.xml><?xml version="1.0" encoding="utf-8"?>
<Properties xmlns="http://schemas.openxmlformats.org/officeDocument/2006/custom-properties" xmlns:vt="http://schemas.openxmlformats.org/officeDocument/2006/docPropsVTypes"/>
</file>