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E9E8E"/>
          <w:sz w:val="48"/>
          <w:szCs w:val="48"/>
        </w:rPr>
        <w:t xml:space="preserve">Miami Life Plastic Surgery</w:t>
      </w:r>
    </w:p>
    <w:p>
      <w:pPr>
        <w:spacing w:after="80"/>
      </w:pPr>
      <w:r>
        <w:rPr>
          <w:rFonts w:ascii="Arial" w:cs="Arial" w:eastAsia="Arial" w:hAnsi="Arial"/>
          <w:b/>
          <w:bCs/>
          <w:color w:val="1F2937"/>
          <w:sz w:val="36"/>
          <w:szCs w:val="36"/>
        </w:rPr>
        <w:t xml:space="preserve">Affiliate Payment Structure</w:t>
      </w:r>
    </w:p>
    <w:p>
      <w:pPr>
        <w:spacing w:after="240"/>
      </w:pPr>
      <w:r>
        <w:rPr>
          <w:rFonts w:ascii="Arial" w:cs="Arial" w:eastAsia="Arial" w:hAnsi="Arial"/>
          <w:color w:val="6B7280"/>
          <w:sz w:val="24"/>
          <w:szCs w:val="24"/>
        </w:rPr>
        <w:t xml:space="preserve">Attorney Review Memo — Anti-Kickback &amp; Fee-Splitting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60"/>
            </w:pPr>
            <w:r>
              <w:rPr>
                <w:rFonts w:ascii="Arial" w:cs="Arial" w:eastAsia="Arial" w:hAnsi="Arial"/>
                <w:b/>
                <w:bCs/>
                <w:color w:val="92400E"/>
                <w:sz w:val="22"/>
                <w:szCs w:val="22"/>
              </w:rPr>
              <w:t xml:space="preserve">DRAFT — Attorney Review Required</w:t>
            </w:r>
          </w:p>
          <w:p>
            <w:pPr>
              <w:spacing w:after="0"/>
            </w:pPr>
            <w:r>
              <w:rPr>
                <w:rFonts w:ascii="Arial" w:cs="Arial" w:eastAsia="Arial" w:hAnsi="Arial"/>
                <w:color w:val="92400E"/>
                <w:sz w:val="22"/>
                <w:szCs w:val="22"/>
              </w:rPr>
              <w:t xml:space="preserve">This memo is prepared by clinic operations for legal counsel review. It does not constitute legal advice. Do not share outside the attorney-client relationship.</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Prepared for</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Legal Counsel</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Prepared by</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Miami Life Plastic Surgery — Operations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Date</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April 2026</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Re</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Anti-kickback compliance analysis for influencer affiliate program</w:t>
            </w:r>
          </w:p>
        </w:tc>
      </w:tr>
    </w:tbl>
    <w:p>
      <w:r>
        <w:br w:type="page"/>
      </w:r>
    </w:p>
    <w:p>
      <w:pPr>
        <w:pStyle w:val="Heading1"/>
        <w:spacing w:after="160" w:before="360"/>
      </w:pPr>
      <w:r>
        <w:rPr>
          <w:rFonts w:ascii="Arial" w:cs="Arial" w:eastAsia="Arial" w:hAnsi="Arial"/>
          <w:b/>
          <w:bCs/>
          <w:color w:val="1F2937"/>
          <w:sz w:val="36"/>
          <w:szCs w:val="36"/>
        </w:rPr>
        <w:t xml:space="preserve">1. Background</w:t>
      </w:r>
    </w:p>
    <w:p>
      <w:pPr>
        <w:spacing w:after="120"/>
      </w:pPr>
      <w:r>
        <w:rPr>
          <w:rFonts w:ascii="Arial" w:cs="Arial" w:eastAsia="Arial" w:hAnsi="Arial"/>
          <w:color w:val="374151"/>
          <w:sz w:val="22"/>
          <w:szCs w:val="22"/>
        </w:rPr>
        <w:t xml:space="preserve">Miami Life Plastic Surgery operates a plastic surgery practice in Miami, FL. We use the SymetriHealth platform to manage patient intake. We are proposing to launch an affiliate marketing program in which social media influencers (primarily on Instagram and TikTok) direct their followers to our AI-powered facial evaluation intake form.</w:t>
      </w:r>
    </w:p>
    <w:p>
      <w:pPr>
        <w:spacing w:after="80"/>
      </w:pPr>
      <w:r>
        <w:t xml:space="preserve"/>
      </w:r>
    </w:p>
    <w:p>
      <w:pPr>
        <w:spacing w:after="120"/>
      </w:pPr>
      <w:r>
        <w:rPr>
          <w:rFonts w:ascii="Arial" w:cs="Arial" w:eastAsia="Arial" w:hAnsi="Arial"/>
          <w:color w:val="374151"/>
          <w:sz w:val="22"/>
          <w:szCs w:val="22"/>
        </w:rPr>
        <w:t xml:space="preserve">This memo describes the proposed payment structure and requests legal counsel's analysis of its compliance with the federal Anti-Kickback Statute, the Florida Patient Self-Referral Act, and any other applicable federal or state law.</w:t>
      </w:r>
    </w:p>
    <w:p>
      <w:pPr>
        <w:pStyle w:val="Heading1"/>
        <w:spacing w:after="160" w:before="360"/>
      </w:pPr>
      <w:r>
        <w:rPr>
          <w:rFonts w:ascii="Arial" w:cs="Arial" w:eastAsia="Arial" w:hAnsi="Arial"/>
          <w:b/>
          <w:bCs/>
          <w:color w:val="1F2937"/>
          <w:sz w:val="36"/>
          <w:szCs w:val="36"/>
        </w:rPr>
        <w:t xml:space="preserve">2. Proposed Payment Structure</w:t>
      </w:r>
    </w:p>
    <w:p>
      <w:pPr>
        <w:pStyle w:val="Heading2"/>
        <w:spacing w:after="100" w:before="280"/>
      </w:pPr>
      <w:r>
        <w:rPr>
          <w:rFonts w:ascii="Arial" w:cs="Arial" w:eastAsia="Arial" w:hAnsi="Arial"/>
          <w:b/>
          <w:bCs/>
          <w:color w:val="0B7A6E"/>
          <w:sz w:val="26"/>
          <w:szCs w:val="26"/>
        </w:rPr>
        <w:t xml:space="preserve">2.1 How the Program Works</w:t>
      </w:r>
    </w:p>
    <w:p>
      <w:pPr>
        <w:pStyle w:val="ListParagraph"/>
        <w:numPr>
          <w:ilvl w:val="0"/>
          <w:numId w:val="2"/>
        </w:numPr>
        <w:spacing w:after="80"/>
      </w:pPr>
      <w:r>
        <w:rPr>
          <w:rFonts w:ascii="Arial" w:cs="Arial" w:eastAsia="Arial" w:hAnsi="Arial"/>
          <w:color w:val="374151"/>
          <w:sz w:val="22"/>
          <w:szCs w:val="22"/>
        </w:rPr>
        <w:t xml:space="preserve">The clinic enrolls influencers ("Affiliate Partners") who create content promoting the clinic's free AI facial evaluation.</w:t>
      </w:r>
    </w:p>
    <w:p>
      <w:pPr>
        <w:pStyle w:val="ListParagraph"/>
        <w:numPr>
          <w:ilvl w:val="0"/>
          <w:numId w:val="2"/>
        </w:numPr>
        <w:spacing w:after="80"/>
      </w:pPr>
      <w:r>
        <w:rPr>
          <w:rFonts w:ascii="Arial" w:cs="Arial" w:eastAsia="Arial" w:hAnsi="Arial"/>
          <w:color w:val="374151"/>
          <w:sz w:val="22"/>
          <w:szCs w:val="22"/>
        </w:rPr>
        <w:t xml:space="preserve">Each partner receives a unique tracking URL. When a follower clicks the link, they are redirected to the clinic's evaluation intake form.</w:t>
      </w:r>
    </w:p>
    <w:p>
      <w:pPr>
        <w:pStyle w:val="ListParagraph"/>
        <w:numPr>
          <w:ilvl w:val="0"/>
          <w:numId w:val="2"/>
        </w:numPr>
        <w:spacing w:after="80"/>
      </w:pPr>
      <w:r>
        <w:rPr>
          <w:rFonts w:ascii="Arial" w:cs="Arial" w:eastAsia="Arial" w:hAnsi="Arial"/>
          <w:color w:val="374151"/>
          <w:sz w:val="22"/>
          <w:szCs w:val="22"/>
        </w:rPr>
        <w:t xml:space="preserve">If the follower completes the full evaluation (submitting photos and a medical history questionnaire), a payout entry is created in the system.</w:t>
      </w:r>
    </w:p>
    <w:p>
      <w:pPr>
        <w:pStyle w:val="ListParagraph"/>
        <w:numPr>
          <w:ilvl w:val="0"/>
          <w:numId w:val="2"/>
        </w:numPr>
        <w:spacing w:after="80"/>
      </w:pPr>
      <w:r>
        <w:rPr>
          <w:rFonts w:ascii="Arial" w:cs="Arial" w:eastAsia="Arial" w:hAnsi="Arial"/>
          <w:color w:val="374151"/>
          <w:sz w:val="22"/>
          <w:szCs w:val="22"/>
        </w:rPr>
        <w:t xml:space="preserve">After a hold period (default: 14–30 days), the clinic reviews and approves or rejects the payout.</w:t>
      </w:r>
    </w:p>
    <w:p>
      <w:pPr>
        <w:pStyle w:val="ListParagraph"/>
        <w:numPr>
          <w:ilvl w:val="0"/>
          <w:numId w:val="2"/>
        </w:numPr>
        <w:spacing w:after="80"/>
      </w:pPr>
      <w:r>
        <w:rPr>
          <w:rFonts w:ascii="Arial" w:cs="Arial" w:eastAsia="Arial" w:hAnsi="Arial"/>
          <w:color w:val="374151"/>
          <w:sz w:val="22"/>
          <w:szCs w:val="22"/>
        </w:rPr>
        <w:t xml:space="preserve">Approved payouts are released to the partner. Payment method is determined between the clinic and each partner separately (bank transfer, Venmo, etc.).</w:t>
      </w:r>
    </w:p>
    <w:p>
      <w:pPr>
        <w:spacing w:after="120"/>
      </w:pPr>
      <w:r>
        <w:t xml:space="preserve"/>
      </w:r>
    </w:p>
    <w:p>
      <w:pPr>
        <w:pStyle w:val="Heading2"/>
        <w:spacing w:after="100" w:before="280"/>
      </w:pPr>
      <w:r>
        <w:rPr>
          <w:rFonts w:ascii="Arial" w:cs="Arial" w:eastAsia="Arial" w:hAnsi="Arial"/>
          <w:b/>
          <w:bCs/>
          <w:color w:val="0B7A6E"/>
          <w:sz w:val="26"/>
          <w:szCs w:val="26"/>
        </w:rPr>
        <w:t xml:space="preserve">2.2 What Triggers a Payout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E6F7F5" w:val="clear"/>
            <w:tcMar>
              <w:top w:type="dxa" w:w="80"/>
              <w:left w:type="dxa" w:w="200"/>
              <w:bottom w:type="dxa" w:w="0"/>
              <w:right w:type="dxa" w:w="200"/>
            </w:tcMar>
          </w:tcPr>
          <w:p>
            <w:pPr>
              <w:spacing w:after="40"/>
            </w:pPr>
            <w:r>
              <w:rPr>
                <w:rFonts w:ascii="Arial" w:cs="Arial" w:eastAsia="Arial" w:hAnsi="Arial"/>
                <w:b/>
                <w:bCs/>
                <w:color w:val="0B7A6E"/>
                <w:sz w:val="22"/>
                <w:szCs w:val="22"/>
              </w:rPr>
              <w:t xml:space="preserve">Key fact for counsel</w:t>
            </w:r>
          </w:p>
        </w:tc>
      </w:tr>
      <w:tr>
        <w:tc>
          <w:tcPr>
            <w:tcBorders>
              <w:top w:val="none" w:color="FFFFFF" w:sz="0"/>
              <w:left w:val="none" w:color="FFFFFF" w:sz="0"/>
              <w:bottom w:val="none" w:color="FFFFFF" w:sz="0"/>
              <w:right w:val="none" w:color="FFFFFF" w:sz="0"/>
            </w:tcBorders>
            <w:shd w:fill="E6F7F5" w:val="clear"/>
            <w:tcMar>
              <w:top w:type="dxa" w:w="0"/>
              <w:left w:type="dxa" w:w="200"/>
              <w:bottom w:type="dxa" w:w="120"/>
              <w:right w:type="dxa" w:w="200"/>
            </w:tcMar>
          </w:tcPr>
          <w:p>
            <w:pPr>
              <w:spacing w:after="0"/>
            </w:pPr>
            <w:r>
              <w:rPr>
                <w:rFonts w:ascii="Arial" w:cs="Arial" w:eastAsia="Arial" w:hAnsi="Arial"/>
                <w:color w:val="0B7A6E"/>
                <w:sz w:val="22"/>
                <w:szCs w:val="22"/>
              </w:rPr>
              <w:t xml:space="preserve">A payout is triggered by a completed AI evaluation — not by a booked consultation, not by a performed surgery, and not by an insurance billing event. The evaluation is a free digital tool available to anyone. No medical diagnosis, treatment recommendation, or clinical decision is made during the evaluation.</w:t>
            </w:r>
          </w:p>
        </w:tc>
      </w:tr>
    </w:tbl>
    <w:p>
      <w:pPr>
        <w:spacing w:after="120"/>
      </w:pPr>
      <w:r>
        <w:t xml:space="preserve"/>
      </w:r>
    </w:p>
    <w:p>
      <w:pPr>
        <w:spacing w:after="120"/>
      </w:pPr>
      <w:r>
        <w:rPr>
          <w:rFonts w:ascii="Arial" w:cs="Arial" w:eastAsia="Arial" w:hAnsi="Arial"/>
          <w:color w:val="374151"/>
          <w:sz w:val="22"/>
          <w:szCs w:val="22"/>
        </w:rPr>
        <w:t xml:space="preserve">A "completed evaluation" means the visitor has:</w:t>
      </w:r>
    </w:p>
    <w:p>
      <w:pPr>
        <w:pStyle w:val="ListParagraph"/>
        <w:numPr>
          <w:ilvl w:val="0"/>
          <w:numId w:val="3"/>
        </w:numPr>
        <w:spacing w:after="80"/>
      </w:pPr>
      <w:r>
        <w:rPr>
          <w:rFonts w:ascii="Arial" w:cs="Arial" w:eastAsia="Arial" w:hAnsi="Arial"/>
          <w:color w:val="374151"/>
          <w:sz w:val="22"/>
          <w:szCs w:val="22"/>
        </w:rPr>
        <w:t xml:space="preserve">Submitted the intake form with valid contact information</w:t>
      </w:r>
    </w:p>
    <w:p>
      <w:pPr>
        <w:pStyle w:val="ListParagraph"/>
        <w:numPr>
          <w:ilvl w:val="0"/>
          <w:numId w:val="3"/>
        </w:numPr>
        <w:spacing w:after="80"/>
      </w:pPr>
      <w:r>
        <w:rPr>
          <w:rFonts w:ascii="Arial" w:cs="Arial" w:eastAsia="Arial" w:hAnsi="Arial"/>
          <w:color w:val="374151"/>
          <w:sz w:val="22"/>
          <w:szCs w:val="22"/>
        </w:rPr>
        <w:t xml:space="preserve">Uploaded at least one qualifying photo</w:t>
      </w:r>
    </w:p>
    <w:p>
      <w:pPr>
        <w:pStyle w:val="ListParagraph"/>
        <w:numPr>
          <w:ilvl w:val="0"/>
          <w:numId w:val="3"/>
        </w:numPr>
        <w:spacing w:after="80"/>
      </w:pPr>
      <w:r>
        <w:rPr>
          <w:rFonts w:ascii="Arial" w:cs="Arial" w:eastAsia="Arial" w:hAnsi="Arial"/>
          <w:color w:val="374151"/>
          <w:sz w:val="22"/>
          <w:szCs w:val="22"/>
        </w:rPr>
        <w:t xml:space="preserve">Answered the medical history questionnaire</w:t>
      </w:r>
    </w:p>
    <w:p>
      <w:pPr>
        <w:spacing w:after="80"/>
      </w:pPr>
      <w:r>
        <w:t xml:space="preserve"/>
      </w:r>
    </w:p>
    <w:p>
      <w:pPr>
        <w:spacing w:after="120"/>
      </w:pPr>
      <w:r>
        <w:rPr>
          <w:rFonts w:ascii="Arial" w:cs="Arial" w:eastAsia="Arial" w:hAnsi="Arial"/>
          <w:b/>
          <w:bCs/>
          <w:color w:val="1F2937"/>
          <w:sz w:val="22"/>
          <w:szCs w:val="22"/>
        </w:rPr>
        <w:t xml:space="preserve">A payout is NOT triggered by: </w:t>
      </w:r>
      <w:r>
        <w:rPr>
          <w:rFonts w:ascii="Arial" w:cs="Arial" w:eastAsia="Arial" w:hAnsi="Arial"/>
          <w:color w:val="374151"/>
          <w:sz w:val="22"/>
          <w:szCs w:val="22"/>
        </w:rPr>
        <w:t xml:space="preserve">scheduling a consultation, attending a consultation, receiving a procedure, or any billing event.</w:t>
      </w:r>
    </w:p>
    <w:p>
      <w:pPr>
        <w:spacing w:after="120"/>
      </w:pPr>
      <w:r>
        <w:t xml:space="preserve"/>
      </w:r>
    </w:p>
    <w:p>
      <w:pPr>
        <w:pStyle w:val="Heading2"/>
        <w:spacing w:after="100" w:before="280"/>
      </w:pPr>
      <w:r>
        <w:rPr>
          <w:rFonts w:ascii="Arial" w:cs="Arial" w:eastAsia="Arial" w:hAnsi="Arial"/>
          <w:b/>
          <w:bCs/>
          <w:color w:val="0B7A6E"/>
          <w:sz w:val="26"/>
          <w:szCs w:val="26"/>
        </w:rPr>
        <w:t xml:space="preserve">2.3 Payout Amounts</w:t>
      </w:r>
    </w:p>
    <w:p>
      <w:pPr>
        <w:spacing w:after="120"/>
      </w:pPr>
      <w:r>
        <w:rPr>
          <w:rFonts w:ascii="Arial" w:cs="Arial" w:eastAsia="Arial" w:hAnsi="Arial"/>
          <w:color w:val="374151"/>
          <w:sz w:val="22"/>
          <w:szCs w:val="22"/>
        </w:rPr>
        <w:t xml:space="preserve">Payout amounts are set per partner and per campaign, typically ranging from $25–$100 per completed evaluation. These amounts are:</w:t>
      </w:r>
    </w:p>
    <w:p>
      <w:pPr>
        <w:pStyle w:val="ListParagraph"/>
        <w:numPr>
          <w:ilvl w:val="0"/>
          <w:numId w:val="3"/>
        </w:numPr>
        <w:spacing w:after="80"/>
      </w:pPr>
      <w:r>
        <w:rPr>
          <w:rFonts w:ascii="Arial" w:cs="Arial" w:eastAsia="Arial" w:hAnsi="Arial"/>
          <w:color w:val="374151"/>
          <w:sz w:val="22"/>
          <w:szCs w:val="22"/>
        </w:rPr>
        <w:t xml:space="preserve">Disclosed to the partner in advance in writing (via the affiliate agreement)</w:t>
      </w:r>
    </w:p>
    <w:p>
      <w:pPr>
        <w:pStyle w:val="ListParagraph"/>
        <w:numPr>
          <w:ilvl w:val="0"/>
          <w:numId w:val="3"/>
        </w:numPr>
        <w:spacing w:after="80"/>
      </w:pPr>
      <w:r>
        <w:rPr>
          <w:rFonts w:ascii="Arial" w:cs="Arial" w:eastAsia="Arial" w:hAnsi="Arial"/>
          <w:color w:val="374151"/>
          <w:sz w:val="22"/>
          <w:szCs w:val="22"/>
        </w:rPr>
        <w:t xml:space="preserve">Not contingent on the patient receiving any medical service</w:t>
      </w:r>
    </w:p>
    <w:p>
      <w:pPr>
        <w:pStyle w:val="ListParagraph"/>
        <w:numPr>
          <w:ilvl w:val="0"/>
          <w:numId w:val="3"/>
        </w:numPr>
        <w:spacing w:after="80"/>
      </w:pPr>
      <w:r>
        <w:rPr>
          <w:rFonts w:ascii="Arial" w:cs="Arial" w:eastAsia="Arial" w:hAnsi="Arial"/>
          <w:color w:val="374151"/>
          <w:sz w:val="22"/>
          <w:szCs w:val="22"/>
        </w:rPr>
        <w:t xml:space="preserve">Not tied to the value of any medical procedure</w:t>
      </w:r>
    </w:p>
    <w:p>
      <w:pPr>
        <w:pStyle w:val="ListParagraph"/>
        <w:numPr>
          <w:ilvl w:val="0"/>
          <w:numId w:val="3"/>
        </w:numPr>
        <w:spacing w:after="80"/>
      </w:pPr>
      <w:r>
        <w:rPr>
          <w:rFonts w:ascii="Arial" w:cs="Arial" w:eastAsia="Arial" w:hAnsi="Arial"/>
          <w:color w:val="374151"/>
          <w:sz w:val="22"/>
          <w:szCs w:val="22"/>
        </w:rPr>
        <w:t xml:space="preserve">Not paid to any licensed healthcare provider or healthcare entity</w:t>
      </w:r>
    </w:p>
    <w:p>
      <w:pPr>
        <w:spacing w:after="120"/>
      </w:pPr>
      <w:r>
        <w:t xml:space="preserve"/>
      </w:r>
    </w:p>
    <w:p>
      <w:pPr>
        <w:pStyle w:val="Heading2"/>
        <w:spacing w:after="100" w:before="280"/>
      </w:pPr>
      <w:r>
        <w:rPr>
          <w:rFonts w:ascii="Arial" w:cs="Arial" w:eastAsia="Arial" w:hAnsi="Arial"/>
          <w:b/>
          <w:bCs/>
          <w:color w:val="0B7A6E"/>
          <w:sz w:val="26"/>
          <w:szCs w:val="26"/>
        </w:rPr>
        <w:t xml:space="preserve">2.4 Who Receives Payouts</w:t>
      </w:r>
    </w:p>
    <w:p>
      <w:pPr>
        <w:spacing w:after="120"/>
      </w:pPr>
      <w:r>
        <w:rPr>
          <w:rFonts w:ascii="Arial" w:cs="Arial" w:eastAsia="Arial" w:hAnsi="Arial"/>
          <w:color w:val="374151"/>
          <w:sz w:val="22"/>
          <w:szCs w:val="22"/>
        </w:rPr>
        <w:t xml:space="preserve">Affiliate partners are exclusively social media content creators (influencers). They are:</w:t>
      </w:r>
    </w:p>
    <w:p>
      <w:pPr>
        <w:pStyle w:val="ListParagraph"/>
        <w:numPr>
          <w:ilvl w:val="0"/>
          <w:numId w:val="3"/>
        </w:numPr>
        <w:spacing w:after="80"/>
      </w:pPr>
      <w:r>
        <w:rPr>
          <w:rFonts w:ascii="Arial" w:cs="Arial" w:eastAsia="Arial" w:hAnsi="Arial"/>
          <w:color w:val="374151"/>
          <w:sz w:val="22"/>
          <w:szCs w:val="22"/>
        </w:rPr>
        <w:t xml:space="preserve">Not licensed physicians, surgeons, or healthcare providers</w:t>
      </w:r>
    </w:p>
    <w:p>
      <w:pPr>
        <w:pStyle w:val="ListParagraph"/>
        <w:numPr>
          <w:ilvl w:val="0"/>
          <w:numId w:val="3"/>
        </w:numPr>
        <w:spacing w:after="80"/>
      </w:pPr>
      <w:r>
        <w:rPr>
          <w:rFonts w:ascii="Arial" w:cs="Arial" w:eastAsia="Arial" w:hAnsi="Arial"/>
          <w:color w:val="374151"/>
          <w:sz w:val="22"/>
          <w:szCs w:val="22"/>
        </w:rPr>
        <w:t xml:space="preserve">Not employees or contractors of the clinic in any clinical capacity</w:t>
      </w:r>
    </w:p>
    <w:p>
      <w:pPr>
        <w:pStyle w:val="ListParagraph"/>
        <w:numPr>
          <w:ilvl w:val="0"/>
          <w:numId w:val="3"/>
        </w:numPr>
        <w:spacing w:after="80"/>
      </w:pPr>
      <w:r>
        <w:rPr>
          <w:rFonts w:ascii="Arial" w:cs="Arial" w:eastAsia="Arial" w:hAnsi="Arial"/>
          <w:color w:val="374151"/>
          <w:sz w:val="22"/>
          <w:szCs w:val="22"/>
        </w:rPr>
        <w:t xml:space="preserve">Not referring patients in a clinical sense — they are directing social media followers to a free digital tool</w:t>
      </w:r>
    </w:p>
    <w:p>
      <w:pPr>
        <w:pStyle w:val="ListParagraph"/>
        <w:numPr>
          <w:ilvl w:val="0"/>
          <w:numId w:val="3"/>
        </w:numPr>
        <w:spacing w:after="80"/>
      </w:pPr>
      <w:r>
        <w:rPr>
          <w:rFonts w:ascii="Arial" w:cs="Arial" w:eastAsia="Arial" w:hAnsi="Arial"/>
          <w:color w:val="374151"/>
          <w:sz w:val="22"/>
          <w:szCs w:val="22"/>
        </w:rPr>
        <w:t xml:space="preserve">Not affiliated with any health insurance plan or federal healthcare program</w:t>
      </w:r>
    </w:p>
    <w:p>
      <w:r>
        <w:br w:type="page"/>
      </w:r>
    </w:p>
    <w:p>
      <w:pPr>
        <w:pStyle w:val="Heading1"/>
        <w:spacing w:after="160" w:before="360"/>
      </w:pPr>
      <w:r>
        <w:rPr>
          <w:rFonts w:ascii="Arial" w:cs="Arial" w:eastAsia="Arial" w:hAnsi="Arial"/>
          <w:b/>
          <w:bCs/>
          <w:color w:val="1F2937"/>
          <w:sz w:val="36"/>
          <w:szCs w:val="36"/>
        </w:rPr>
        <w:t xml:space="preserve">3. Legal Framework — Questions for Counsel</w:t>
      </w:r>
    </w:p>
    <w:p>
      <w:pPr>
        <w:pStyle w:val="Heading2"/>
        <w:spacing w:after="100" w:before="280"/>
      </w:pPr>
      <w:r>
        <w:rPr>
          <w:rFonts w:ascii="Arial" w:cs="Arial" w:eastAsia="Arial" w:hAnsi="Arial"/>
          <w:b/>
          <w:bCs/>
          <w:color w:val="0B7A6E"/>
          <w:sz w:val="26"/>
          <w:szCs w:val="26"/>
        </w:rPr>
        <w:t xml:space="preserve">3.1 Federal Anti-Kickback Statute (42 U.S.C. § 1320a-7b(b))</w:t>
      </w:r>
    </w:p>
    <w:p>
      <w:pPr>
        <w:spacing w:after="120"/>
      </w:pPr>
      <w:r>
        <w:rPr>
          <w:rFonts w:ascii="Arial" w:cs="Arial" w:eastAsia="Arial" w:hAnsi="Arial"/>
          <w:color w:val="374151"/>
          <w:sz w:val="22"/>
          <w:szCs w:val="22"/>
        </w:rPr>
        <w:t xml:space="preserve">The federal AKS prohibits offering, paying, soliciting, or receiving "remuneration" to induce or reward referrals of items or services covered by a Federal healthcare program (Medicare, Medicaid, etc.).</w:t>
      </w:r>
    </w:p>
    <w:p>
      <w:pPr>
        <w:spacing w:after="80"/>
      </w:pPr>
      <w:r>
        <w:t xml:space="preserve"/>
      </w:r>
    </w:p>
    <w:p>
      <w:pPr>
        <w:spacing w:after="120"/>
      </w:pPr>
      <w:r>
        <w:rPr>
          <w:rFonts w:ascii="Arial" w:cs="Arial" w:eastAsia="Arial" w:hAnsi="Arial"/>
          <w:b/>
          <w:bCs/>
          <w:color w:val="1F2937"/>
          <w:sz w:val="22"/>
          <w:szCs w:val="22"/>
        </w:rPr>
        <w:t xml:space="preserve">Question 1: </w:t>
      </w:r>
      <w:r>
        <w:rPr>
          <w:rFonts w:ascii="Arial" w:cs="Arial" w:eastAsia="Arial" w:hAnsi="Arial"/>
          <w:color w:val="374151"/>
          <w:sz w:val="22"/>
          <w:szCs w:val="22"/>
        </w:rPr>
        <w:t xml:space="preserve">Does the AKS apply to this arrangement? Specifically: (a) do the referred patients receive services covered by a Federal healthcare program, and (b) does paying for a completed evaluation qualify as paying for a "referral" under the statute?</w:t>
      </w:r>
    </w:p>
    <w:p>
      <w:pPr>
        <w:spacing w:after="80"/>
      </w:pPr>
      <w:r>
        <w:t xml:space="preserve"/>
      </w:r>
    </w:p>
    <w:p>
      <w:pPr>
        <w:spacing w:after="120"/>
      </w:pPr>
      <w:r>
        <w:rPr>
          <w:rFonts w:ascii="Arial" w:cs="Arial" w:eastAsia="Arial" w:hAnsi="Arial"/>
          <w:b/>
          <w:bCs/>
          <w:color w:val="1F2937"/>
          <w:sz w:val="22"/>
          <w:szCs w:val="22"/>
        </w:rPr>
        <w:t xml:space="preserve">Our assessment: </w:t>
      </w:r>
      <w:r>
        <w:rPr>
          <w:rFonts w:ascii="Arial" w:cs="Arial" w:eastAsia="Arial" w:hAnsi="Arial"/>
          <w:color w:val="374151"/>
          <w:sz w:val="22"/>
          <w:szCs w:val="22"/>
        </w:rPr>
        <w:t xml:space="preserve">We believe the AKS likely does not apply because (a) our plastic surgery practice does not bill Medicare or Medicaid for elective cosmetic procedures, and (b) the payout is for a completed free digital evaluation, not for booking or receiving a medical service. However, we request counsel's confirmation.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FEF3C7" w:val="clear"/>
            <w:tcMar>
              <w:top w:type="dxa" w:w="80"/>
              <w:left w:type="dxa" w:w="200"/>
              <w:bottom w:type="dxa" w:w="0"/>
              <w:right w:type="dxa" w:w="200"/>
            </w:tcMar>
          </w:tcPr>
          <w:p>
            <w:pPr>
              <w:spacing w:after="40"/>
            </w:pPr>
            <w:r>
              <w:rPr>
                <w:rFonts w:ascii="Arial" w:cs="Arial" w:eastAsia="Arial" w:hAnsi="Arial"/>
                <w:b/>
                <w:bCs/>
                <w:color w:val="92400E"/>
                <w:sz w:val="22"/>
                <w:szCs w:val="22"/>
              </w:rPr>
              <w:t xml:space="preserve">Note</w:t>
            </w:r>
          </w:p>
        </w:tc>
      </w:tr>
      <w:tr>
        <w:tc>
          <w:tcPr>
            <w:tcBorders>
              <w:top w:val="none" w:color="FFFFFF" w:sz="0"/>
              <w:left w:val="none" w:color="FFFFFF" w:sz="0"/>
              <w:bottom w:val="none" w:color="FFFFFF" w:sz="0"/>
              <w:right w:val="none" w:color="FFFFFF" w:sz="0"/>
            </w:tcBorders>
            <w:shd w:fill="FEF3C7" w:val="clear"/>
            <w:tcMar>
              <w:top w:type="dxa" w:w="0"/>
              <w:left w:type="dxa" w:w="200"/>
              <w:bottom w:type="dxa" w:w="120"/>
              <w:right w:type="dxa" w:w="200"/>
            </w:tcMar>
          </w:tcPr>
          <w:p>
            <w:pPr>
              <w:spacing w:after="0"/>
            </w:pPr>
            <w:r>
              <w:rPr>
                <w:rFonts w:ascii="Arial" w:cs="Arial" w:eastAsia="Arial" w:hAnsi="Arial"/>
                <w:color w:val="92400E"/>
                <w:sz w:val="22"/>
                <w:szCs w:val="22"/>
              </w:rPr>
              <w:t xml:space="preserve">If any of our services are billed to federal programs (e.g. reconstructive procedures, medically necessary treatments), counsel should advise whether those services change the AKS analysis.</w:t>
            </w:r>
          </w:p>
        </w:tc>
      </w:tr>
    </w:tbl>
    <w:p>
      <w:pPr>
        <w:spacing w:after="160"/>
      </w:pPr>
      <w:r>
        <w:t xml:space="preserve"/>
      </w:r>
    </w:p>
    <w:p>
      <w:pPr>
        <w:pStyle w:val="Heading2"/>
        <w:spacing w:after="100" w:before="280"/>
      </w:pPr>
      <w:r>
        <w:rPr>
          <w:rFonts w:ascii="Arial" w:cs="Arial" w:eastAsia="Arial" w:hAnsi="Arial"/>
          <w:b/>
          <w:bCs/>
          <w:color w:val="0B7A6E"/>
          <w:sz w:val="26"/>
          <w:szCs w:val="26"/>
        </w:rPr>
        <w:t xml:space="preserve">3.2 Florida Patient Self-Referral Act (Fla. Stat. § 456.053)</w:t>
      </w:r>
    </w:p>
    <w:p>
      <w:pPr>
        <w:spacing w:after="120"/>
      </w:pPr>
      <w:r>
        <w:rPr>
          <w:rFonts w:ascii="Arial" w:cs="Arial" w:eastAsia="Arial" w:hAnsi="Arial"/>
          <w:color w:val="374151"/>
          <w:sz w:val="22"/>
          <w:szCs w:val="22"/>
        </w:rPr>
        <w:t xml:space="preserve">Florida's Patient Self-Referral Act (PSRA) prohibits a healthcare provider from referring patients to an entity in which the provider has an investment interest, subject to certain exceptions. It also prohibits fee-splitting arrangements.</w:t>
      </w:r>
    </w:p>
    <w:p>
      <w:pPr>
        <w:spacing w:after="80"/>
      </w:pPr>
      <w:r>
        <w:t xml:space="preserve"/>
      </w:r>
    </w:p>
    <w:p>
      <w:pPr>
        <w:spacing w:after="120"/>
      </w:pPr>
      <w:r>
        <w:rPr>
          <w:rFonts w:ascii="Arial" w:cs="Arial" w:eastAsia="Arial" w:hAnsi="Arial"/>
          <w:b/>
          <w:bCs/>
          <w:color w:val="1F2937"/>
          <w:sz w:val="22"/>
          <w:szCs w:val="22"/>
        </w:rPr>
        <w:t xml:space="preserve">Question 2: </w:t>
      </w:r>
      <w:r>
        <w:rPr>
          <w:rFonts w:ascii="Arial" w:cs="Arial" w:eastAsia="Arial" w:hAnsi="Arial"/>
          <w:color w:val="374151"/>
          <w:sz w:val="22"/>
          <w:szCs w:val="22"/>
        </w:rPr>
        <w:t xml:space="preserve">Does the Florida PSRA's fee-splitting prohibition (§ 456.054) apply to paying non-provider influencers for directing followers to a free digital evaluation tool?</w:t>
      </w:r>
    </w:p>
    <w:p>
      <w:pPr>
        <w:spacing w:after="80"/>
      </w:pPr>
      <w:r>
        <w:t xml:space="preserve"/>
      </w:r>
    </w:p>
    <w:p>
      <w:pPr>
        <w:spacing w:after="120"/>
      </w:pPr>
      <w:r>
        <w:rPr>
          <w:rFonts w:ascii="Arial" w:cs="Arial" w:eastAsia="Arial" w:hAnsi="Arial"/>
          <w:b/>
          <w:bCs/>
          <w:color w:val="1F2937"/>
          <w:sz w:val="22"/>
          <w:szCs w:val="22"/>
        </w:rPr>
        <w:t xml:space="preserve">Question 3: </w:t>
      </w:r>
      <w:r>
        <w:rPr>
          <w:rFonts w:ascii="Arial" w:cs="Arial" w:eastAsia="Arial" w:hAnsi="Arial"/>
          <w:color w:val="374151"/>
          <w:sz w:val="22"/>
          <w:szCs w:val="22"/>
        </w:rPr>
        <w:t xml:space="preserve">Does Florida's solicitation prohibition (§ 817.505, the Patient Brokering Act) apply to this arrangement? That statute prohibits paying for the referral of patients for medical services. Does paying for a completed evaluation (rather than a booked appointment) fall within its scope?</w:t>
      </w:r>
    </w:p>
    <w:p>
      <w:pPr>
        <w:spacing w:after="160"/>
      </w:pPr>
      <w:r>
        <w:t xml:space="preserve"/>
      </w:r>
    </w:p>
    <w:p>
      <w:pPr>
        <w:pStyle w:val="Heading2"/>
        <w:spacing w:after="100" w:before="280"/>
      </w:pPr>
      <w:r>
        <w:rPr>
          <w:rFonts w:ascii="Arial" w:cs="Arial" w:eastAsia="Arial" w:hAnsi="Arial"/>
          <w:b/>
          <w:bCs/>
          <w:color w:val="0B7A6E"/>
          <w:sz w:val="26"/>
          <w:szCs w:val="26"/>
        </w:rPr>
        <w:t xml:space="preserve">3.3 FTC Endorsement Guidelines</w:t>
      </w:r>
    </w:p>
    <w:p>
      <w:pPr>
        <w:spacing w:after="120"/>
      </w:pPr>
      <w:r>
        <w:rPr>
          <w:rFonts w:ascii="Arial" w:cs="Arial" w:eastAsia="Arial" w:hAnsi="Arial"/>
          <w:color w:val="374151"/>
          <w:sz w:val="22"/>
          <w:szCs w:val="22"/>
        </w:rPr>
        <w:t xml:space="preserve">The FTC's Guides Concerning the Use of Endorsements and Testimonials (16 CFR Part 255) require influencers to clearly and conspicuously disclose material connections to brands they promote.</w:t>
      </w:r>
    </w:p>
    <w:p>
      <w:pPr>
        <w:spacing w:after="80"/>
      </w:pPr>
      <w:r>
        <w:t xml:space="preserve"/>
      </w:r>
    </w:p>
    <w:p>
      <w:pPr>
        <w:spacing w:after="120"/>
      </w:pPr>
      <w:r>
        <w:rPr>
          <w:rFonts w:ascii="Arial" w:cs="Arial" w:eastAsia="Arial" w:hAnsi="Arial"/>
          <w:b/>
          <w:bCs/>
          <w:color w:val="1F2937"/>
          <w:sz w:val="22"/>
          <w:szCs w:val="22"/>
        </w:rPr>
        <w:t xml:space="preserve">Question 4: </w:t>
      </w:r>
      <w:r>
        <w:rPr>
          <w:rFonts w:ascii="Arial" w:cs="Arial" w:eastAsia="Arial" w:hAnsi="Arial"/>
          <w:color w:val="374151"/>
          <w:sz w:val="22"/>
          <w:szCs w:val="22"/>
        </w:rPr>
        <w:t xml:space="preserve">Are there any FTC compliance obligations beyond the disclosure requirement that we should address in the affiliate agreement (e.g. restrictions on health claims, testimonial substantiation)?</w:t>
      </w:r>
    </w:p>
    <w:p>
      <w:pPr>
        <w:spacing w:after="160"/>
      </w:pPr>
      <w:r>
        <w:t xml:space="preserve"/>
      </w:r>
    </w:p>
    <w:p>
      <w:pPr>
        <w:pStyle w:val="Heading2"/>
        <w:spacing w:after="100" w:before="280"/>
      </w:pPr>
      <w:r>
        <w:rPr>
          <w:rFonts w:ascii="Arial" w:cs="Arial" w:eastAsia="Arial" w:hAnsi="Arial"/>
          <w:b/>
          <w:bCs/>
          <w:color w:val="0B7A6E"/>
          <w:sz w:val="26"/>
          <w:szCs w:val="26"/>
        </w:rPr>
        <w:t xml:space="preserve">3.4 FDA Regulations on Healthcare Advertising</w:t>
      </w:r>
    </w:p>
    <w:p>
      <w:pPr>
        <w:spacing w:after="120"/>
      </w:pPr>
      <w:r>
        <w:rPr>
          <w:rFonts w:ascii="Arial" w:cs="Arial" w:eastAsia="Arial" w:hAnsi="Arial"/>
          <w:color w:val="374151"/>
          <w:sz w:val="22"/>
          <w:szCs w:val="22"/>
        </w:rPr>
        <w:t xml:space="preserve">The FDA regulates advertising for prescription drugs and medical devices. Plastic surgery procedures are neither, but the FDA has enforcement authority over deceptive health claims in advertising.</w:t>
      </w:r>
    </w:p>
    <w:p>
      <w:pPr>
        <w:spacing w:after="80"/>
      </w:pPr>
      <w:r>
        <w:t xml:space="preserve"/>
      </w:r>
    </w:p>
    <w:p>
      <w:pPr>
        <w:spacing w:after="120"/>
      </w:pPr>
      <w:r>
        <w:rPr>
          <w:rFonts w:ascii="Arial" w:cs="Arial" w:eastAsia="Arial" w:hAnsi="Arial"/>
          <w:b/>
          <w:bCs/>
          <w:color w:val="1F2937"/>
          <w:sz w:val="22"/>
          <w:szCs w:val="22"/>
        </w:rPr>
        <w:t xml:space="preserve">Question 5: </w:t>
      </w:r>
      <w:r>
        <w:rPr>
          <w:rFonts w:ascii="Arial" w:cs="Arial" w:eastAsia="Arial" w:hAnsi="Arial"/>
          <w:color w:val="374151"/>
          <w:sz w:val="22"/>
          <w:szCs w:val="22"/>
        </w:rPr>
        <w:t xml:space="preserve">What restrictions should the affiliate agreement place on the content of influencer posts to avoid FDA enforcement risk? Specifically, should we prohibit posts that (a) describe specific outcomes, (b) include before/after imagery without proper context, or (c) make implied diagnostic claims?</w:t>
      </w:r>
    </w:p>
    <w:p>
      <w:pPr>
        <w:spacing w:after="160"/>
      </w:pPr>
      <w:r>
        <w:t xml:space="preserve"/>
      </w:r>
    </w:p>
    <w:p>
      <w:pPr>
        <w:pStyle w:val="Heading2"/>
        <w:spacing w:after="100" w:before="280"/>
      </w:pPr>
      <w:r>
        <w:rPr>
          <w:rFonts w:ascii="Arial" w:cs="Arial" w:eastAsia="Arial" w:hAnsi="Arial"/>
          <w:b/>
          <w:bCs/>
          <w:color w:val="0B7A6E"/>
          <w:sz w:val="26"/>
          <w:szCs w:val="26"/>
        </w:rPr>
        <w:t xml:space="preserve">3.5 Recommended Safeguards</w:t>
      </w:r>
    </w:p>
    <w:p>
      <w:pPr>
        <w:spacing w:after="120"/>
      </w:pPr>
      <w:r>
        <w:rPr>
          <w:rFonts w:ascii="Arial" w:cs="Arial" w:eastAsia="Arial" w:hAnsi="Arial"/>
          <w:color w:val="374151"/>
          <w:sz w:val="22"/>
          <w:szCs w:val="22"/>
        </w:rPr>
        <w:t xml:space="preserve">Regardless of the legal conclusions on the above questions, we are considering implementing the following safeguards. Please advise if these are sufficient or should be expanded:</w:t>
      </w:r>
    </w:p>
    <w:p>
      <w:pPr>
        <w:pStyle w:val="ListParagraph"/>
        <w:numPr>
          <w:ilvl w:val="0"/>
          <w:numId w:val="3"/>
        </w:numPr>
        <w:spacing w:after="80"/>
      </w:pPr>
      <w:r>
        <w:rPr>
          <w:rFonts w:ascii="Arial" w:cs="Arial" w:eastAsia="Arial" w:hAnsi="Arial"/>
          <w:color w:val="374151"/>
          <w:sz w:val="22"/>
          <w:szCs w:val="22"/>
        </w:rPr>
        <w:t xml:space="preserve">Require all partners to sign an affiliate agreement with FTC disclosure obligations (see draft in Document 3).</w:t>
      </w:r>
    </w:p>
    <w:p>
      <w:pPr>
        <w:pStyle w:val="ListParagraph"/>
        <w:numPr>
          <w:ilvl w:val="0"/>
          <w:numId w:val="3"/>
        </w:numPr>
        <w:spacing w:after="80"/>
      </w:pPr>
      <w:r>
        <w:rPr>
          <w:rFonts w:ascii="Arial" w:cs="Arial" w:eastAsia="Arial" w:hAnsi="Arial"/>
          <w:color w:val="374151"/>
          <w:sz w:val="22"/>
          <w:szCs w:val="22"/>
        </w:rPr>
        <w:t xml:space="preserve">Prohibit partners from making medical claims, outcome guarantees, or diagnostic statements in their content.</w:t>
      </w:r>
    </w:p>
    <w:p>
      <w:pPr>
        <w:pStyle w:val="ListParagraph"/>
        <w:numPr>
          <w:ilvl w:val="0"/>
          <w:numId w:val="3"/>
        </w:numPr>
        <w:spacing w:after="80"/>
      </w:pPr>
      <w:r>
        <w:rPr>
          <w:rFonts w:ascii="Arial" w:cs="Arial" w:eastAsia="Arial" w:hAnsi="Arial"/>
          <w:color w:val="374151"/>
          <w:sz w:val="22"/>
          <w:szCs w:val="22"/>
        </w:rPr>
        <w:t xml:space="preserve">Set payout amounts that are reasonable and consistent with fair market value for marketing services (not correlated with procedure value).</w:t>
      </w:r>
    </w:p>
    <w:p>
      <w:pPr>
        <w:pStyle w:val="ListParagraph"/>
        <w:numPr>
          <w:ilvl w:val="0"/>
          <w:numId w:val="3"/>
        </w:numPr>
        <w:spacing w:after="80"/>
      </w:pPr>
      <w:r>
        <w:rPr>
          <w:rFonts w:ascii="Arial" w:cs="Arial" w:eastAsia="Arial" w:hAnsi="Arial"/>
          <w:color w:val="374151"/>
          <w:sz w:val="22"/>
          <w:szCs w:val="22"/>
        </w:rPr>
        <w:t xml:space="preserve">Maintain a written record of all affiliate agreements, payouts, and compliance reviews.</w:t>
      </w:r>
    </w:p>
    <w:p>
      <w:pPr>
        <w:pStyle w:val="ListParagraph"/>
        <w:numPr>
          <w:ilvl w:val="0"/>
          <w:numId w:val="3"/>
        </w:numPr>
        <w:spacing w:after="80"/>
      </w:pPr>
      <w:r>
        <w:rPr>
          <w:rFonts w:ascii="Arial" w:cs="Arial" w:eastAsia="Arial" w:hAnsi="Arial"/>
          <w:color w:val="374151"/>
          <w:sz w:val="22"/>
          <w:szCs w:val="22"/>
        </w:rPr>
        <w:t xml:space="preserve">Include a termination clause allowing the clinic to immediately terminate any partner whose content violates the agreement.</w:t>
      </w:r>
    </w:p>
    <w:p>
      <w:pPr>
        <w:pStyle w:val="ListParagraph"/>
        <w:numPr>
          <w:ilvl w:val="0"/>
          <w:numId w:val="3"/>
        </w:numPr>
        <w:spacing w:after="80"/>
      </w:pPr>
      <w:r>
        <w:rPr>
          <w:rFonts w:ascii="Arial" w:cs="Arial" w:eastAsia="Arial" w:hAnsi="Arial"/>
          <w:color w:val="374151"/>
          <w:sz w:val="22"/>
          <w:szCs w:val="22"/>
        </w:rPr>
        <w:t xml:space="preserve">Require partners to include a disclaimer that the AI evaluation is not a medical diagnosis.</w:t>
      </w:r>
    </w:p>
    <w:p>
      <w:pPr>
        <w:spacing w:after="160"/>
      </w:pPr>
      <w:r>
        <w:t xml:space="preserve"/>
      </w:r>
    </w:p>
    <w:p>
      <w:pPr>
        <w:pStyle w:val="Heading1"/>
        <w:spacing w:after="160" w:before="360"/>
      </w:pPr>
      <w:r>
        <w:rPr>
          <w:rFonts w:ascii="Arial" w:cs="Arial" w:eastAsia="Arial" w:hAnsi="Arial"/>
          <w:b/>
          <w:bCs/>
          <w:color w:val="1F2937"/>
          <w:sz w:val="36"/>
          <w:szCs w:val="36"/>
        </w:rPr>
        <w:t xml:space="preserve">4. Information Provided to Counsel</w:t>
      </w:r>
    </w:p>
    <w:p>
      <w:pPr>
        <w:spacing w:after="120"/>
      </w:pPr>
      <w:r>
        <w:rPr>
          <w:rFonts w:ascii="Arial" w:cs="Arial" w:eastAsia="Arial" w:hAnsi="Arial"/>
          <w:color w:val="374151"/>
          <w:sz w:val="22"/>
          <w:szCs w:val="22"/>
        </w:rPr>
        <w:t xml:space="preserve">The following materials are available for counsel's review:</w:t>
      </w:r>
    </w:p>
    <w:p>
      <w:pPr>
        <w:pStyle w:val="ListParagraph"/>
        <w:numPr>
          <w:ilvl w:val="0"/>
          <w:numId w:val="3"/>
        </w:numPr>
        <w:spacing w:after="80"/>
      </w:pPr>
      <w:r>
        <w:rPr>
          <w:rFonts w:ascii="Arial" w:cs="Arial" w:eastAsia="Arial" w:hAnsi="Arial"/>
          <w:color w:val="374151"/>
          <w:sz w:val="22"/>
          <w:szCs w:val="22"/>
        </w:rPr>
        <w:t xml:space="preserve">This memo</w:t>
      </w:r>
    </w:p>
    <w:p>
      <w:pPr>
        <w:pStyle w:val="ListParagraph"/>
        <w:numPr>
          <w:ilvl w:val="0"/>
          <w:numId w:val="3"/>
        </w:numPr>
        <w:spacing w:after="80"/>
      </w:pPr>
      <w:r>
        <w:rPr>
          <w:rFonts w:ascii="Arial" w:cs="Arial" w:eastAsia="Arial" w:hAnsi="Arial"/>
          <w:color w:val="374151"/>
          <w:sz w:val="22"/>
          <w:szCs w:val="22"/>
        </w:rPr>
        <w:t xml:space="preserve">Draft Affiliate Terms of Service (Document 3)</w:t>
      </w:r>
    </w:p>
    <w:p>
      <w:pPr>
        <w:pStyle w:val="ListParagraph"/>
        <w:numPr>
          <w:ilvl w:val="0"/>
          <w:numId w:val="3"/>
        </w:numPr>
        <w:spacing w:after="80"/>
      </w:pPr>
      <w:r>
        <w:rPr>
          <w:rFonts w:ascii="Arial" w:cs="Arial" w:eastAsia="Arial" w:hAnsi="Arial"/>
          <w:color w:val="374151"/>
          <w:sz w:val="22"/>
          <w:szCs w:val="22"/>
        </w:rPr>
        <w:t xml:space="preserve">Internal HIPAA Compliance Note (Document 1)</w:t>
      </w:r>
    </w:p>
    <w:p>
      <w:pPr>
        <w:pStyle w:val="ListParagraph"/>
        <w:numPr>
          <w:ilvl w:val="0"/>
          <w:numId w:val="3"/>
        </w:numPr>
        <w:spacing w:after="80"/>
      </w:pPr>
      <w:r>
        <w:rPr>
          <w:rFonts w:ascii="Arial" w:cs="Arial" w:eastAsia="Arial" w:hAnsi="Arial"/>
          <w:color w:val="374151"/>
          <w:sz w:val="22"/>
          <w:szCs w:val="22"/>
        </w:rPr>
        <w:t xml:space="preserve">Screenshot of the patient-facing evaluation intake form (available on request)</w:t>
      </w:r>
    </w:p>
    <w:p>
      <w:pPr>
        <w:pStyle w:val="ListParagraph"/>
        <w:numPr>
          <w:ilvl w:val="0"/>
          <w:numId w:val="3"/>
        </w:numPr>
        <w:spacing w:after="80"/>
      </w:pPr>
      <w:r>
        <w:rPr>
          <w:rFonts w:ascii="Arial" w:cs="Arial" w:eastAsia="Arial" w:hAnsi="Arial"/>
          <w:color w:val="374151"/>
          <w:sz w:val="22"/>
          <w:szCs w:val="22"/>
        </w:rPr>
        <w:t xml:space="preserve">Sample affiliate tracking URL and partner portal (available on request)</w:t>
      </w:r>
    </w:p>
    <w:p>
      <w:pPr>
        <w:spacing w:after="160"/>
      </w:pPr>
      <w:r>
        <w:t xml:space="preserve"/>
      </w:r>
    </w:p>
    <w:p>
      <w:pPr>
        <w:pStyle w:val="Heading1"/>
        <w:spacing w:after="160" w:before="360"/>
      </w:pPr>
      <w:r>
        <w:rPr>
          <w:rFonts w:ascii="Arial" w:cs="Arial" w:eastAsia="Arial" w:hAnsi="Arial"/>
          <w:b/>
          <w:bCs/>
          <w:color w:val="1F2937"/>
          <w:sz w:val="36"/>
          <w:szCs w:val="36"/>
        </w:rPr>
        <w:t xml:space="preserve">5. Requested Deliverable</w:t>
      </w:r>
    </w:p>
    <w:p>
      <w:pPr>
        <w:spacing w:after="120"/>
      </w:pPr>
      <w:r>
        <w:rPr>
          <w:rFonts w:ascii="Arial" w:cs="Arial" w:eastAsia="Arial" w:hAnsi="Arial"/>
          <w:b/>
          <w:bCs/>
          <w:color w:val="1F2937"/>
          <w:sz w:val="22"/>
          <w:szCs w:val="22"/>
        </w:rPr>
        <w:t xml:space="preserve">We request a written legal opinion or memo addressing: </w:t>
      </w:r>
      <w:r>
        <w:rPr>
          <w:rFonts w:ascii="Arial" w:cs="Arial" w:eastAsia="Arial" w:hAnsi="Arial"/>
          <w:color w:val="374151"/>
          <w:sz w:val="22"/>
          <w:szCs w:val="22"/>
        </w:rPr>
        <w:t xml:space="preserve">(1) whether this payment structure complies with applicable federal and Florida law; (2) any modifications required to the payment structure or affiliate agreement; and (3) any additional compliance steps required before launch.</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Attorney name</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Firm</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Date of opinion</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Conclusion</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Compliant as structured     /     Compliant with modifications     /     Not recommended</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spacing w:after="0"/>
            </w:pPr>
            <w:r>
              <w:rPr>
                <w:rFonts w:ascii="Arial" w:cs="Arial" w:eastAsia="Arial" w:hAnsi="Arial"/>
                <w:b/>
                <w:bCs/>
                <w:color w:val="1F2937"/>
                <w:sz w:val="22"/>
                <w:szCs w:val="22"/>
              </w:rPr>
              <w:t xml:space="preserve">Attorney notes</w:t>
            </w:r>
          </w:p>
        </w:tc>
        <w:tc>
          <w:tcPr>
            <w:tcW w:type="dxa" w:w="6760"/>
            <w:tcBorders>
              <w:top w:val="single" w:color="E5E7EB" w:sz="1"/>
              <w:left w:val="single" w:color="E5E7EB" w:sz="1"/>
              <w:bottom w:val="single" w:color="E5E7EB" w:sz="1"/>
              <w:right w:val="single" w:color="E5E7EB" w:sz="1"/>
            </w:tcBorders>
            <w:tcMar>
              <w:top w:type="dxa" w:w="80"/>
              <w:left w:type="dxa" w:w="140"/>
              <w:bottom w:type="dxa" w:w="80"/>
              <w:right w:type="dxa" w:w="140"/>
            </w:tcMar>
          </w:tcPr>
          <w:p>
            <w:pPr>
              <w:spacing w:after="0"/>
            </w:pPr>
            <w:r>
              <w:rPr>
                <w:rFonts w:ascii="Arial" w:cs="Arial" w:eastAsia="Arial" w:hAnsi="Arial"/>
                <w:color w:val="374151"/>
                <w:sz w:val="22"/>
                <w:szCs w:val="22"/>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before="0"/>
    </w:pPr>
    <w:r>
      <w:rPr>
        <w:rFonts w:ascii="Arial" w:cs="Arial" w:eastAsia="Arial" w:hAnsi="Arial"/>
        <w:color w:val="6B7280"/>
        <w:sz w:val="16"/>
        <w:szCs w:val="16"/>
      </w:rPr>
      <w:t xml:space="preserve">Miami Life Plastic Surgery  —  Confidential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spacing w:after="0"/>
    </w:pPr>
    <w:r>
      <w:rPr>
        <w:rFonts w:ascii="Arial" w:cs="Arial" w:eastAsia="Arial" w:hAnsi="Arial"/>
        <w:b/>
        <w:bCs/>
        <w:color w:val="0E9E8E"/>
        <w:sz w:val="18"/>
        <w:szCs w:val="18"/>
      </w:rPr>
      <w:t xml:space="preserve">Miami Life Plastic Surgery  </w:t>
    </w:r>
    <w:r>
      <w:rPr>
        <w:rFonts w:ascii="Arial" w:cs="Arial" w:eastAsia="Arial" w:hAnsi="Arial"/>
        <w:color w:val="6B7280"/>
        <w:sz w:val="18"/>
        <w:szCs w:val="18"/>
      </w:rPr>
      <w:t xml:space="preserve">—  Payment Structure Memo</w:t>
    </w:r>
    <w:r>
      <w:rPr>
        <w:rFonts w:ascii="Arial" w:cs="Arial" w:eastAsia="Arial" w:hAnsi="Arial"/>
        <w:sz w:val="18"/>
        <w:szCs w:val="18"/>
      </w:rPr>
      <w:t xml:space="preserve">	</w:t>
    </w:r>
    <w:r>
      <w:rPr>
        <w:rFonts w:ascii="Arial" w:cs="Arial" w:eastAsia="Arial" w:hAnsi="Arial"/>
        <w:b/>
        <w:bCs/>
        <w:color w:val="92400E"/>
        <w:sz w:val="18"/>
        <w:szCs w:val="18"/>
      </w:rPr>
      <w:t xml:space="preserve">DRAFT — Attorney Review Required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B7A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2026-04-19T05:07:27.793Z</dcterms:created>
  <dcterms:modified xsi:type="dcterms:W3CDTF">2026-04-19T05:07:27.793Z</dcterms:modified>
</cp:coreProperties>
</file>

<file path=docProps/custom.xml><?xml version="1.0" encoding="utf-8"?>
<Properties xmlns="http://schemas.openxmlformats.org/officeDocument/2006/custom-properties" xmlns:vt="http://schemas.openxmlformats.org/officeDocument/2006/docPropsVTypes"/>
</file>