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E9E8E"/>
          <w:sz w:val="48"/>
          <w:szCs w:val="48"/>
        </w:rPr>
        <w:t xml:space="preserve">Miami Life Plastic Surgery</w:t>
      </w:r>
    </w:p>
    <w:p>
      <w:pPr>
        <w:spacing w:after="80"/>
      </w:pPr>
      <w:r>
        <w:rPr>
          <w:rFonts w:ascii="Arial" w:cs="Arial" w:eastAsia="Arial" w:hAnsi="Arial"/>
          <w:b/>
          <w:bCs/>
          <w:color w:val="1F2937"/>
          <w:sz w:val="36"/>
          <w:szCs w:val="36"/>
        </w:rPr>
        <w:t xml:space="preserve">Affiliate Partner Agreement</w:t>
      </w:r>
    </w:p>
    <w:p>
      <w:pPr>
        <w:spacing w:after="240"/>
      </w:pPr>
      <w:r>
        <w:rPr>
          <w:rFonts w:ascii="Arial" w:cs="Arial" w:eastAsia="Arial" w:hAnsi="Arial"/>
          <w:color w:val="6B7280"/>
          <w:sz w:val="24"/>
          <w:szCs w:val="24"/>
        </w:rPr>
        <w:t xml:space="preserve">Terms of Service — Draft for Attorney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pPr>
            <w:r>
              <w:rPr>
                <w:rFonts w:ascii="Arial" w:cs="Arial" w:eastAsia="Arial" w:hAnsi="Arial"/>
                <w:b/>
                <w:bCs/>
                <w:color w:val="92400E"/>
                <w:sz w:val="22"/>
                <w:szCs w:val="22"/>
              </w:rPr>
              <w:t xml:space="preserve">DRAFT — DO NOT USE UNTIL REVIEWED BY LEGAL COUNSEL</w:t>
            </w:r>
          </w:p>
          <w:p>
            <w:pPr>
              <w:spacing w:after="0"/>
            </w:pPr>
            <w:r>
              <w:rPr>
                <w:rFonts w:ascii="Arial" w:cs="Arial" w:eastAsia="Arial" w:hAnsi="Arial"/>
                <w:color w:val="92400E"/>
                <w:sz w:val="22"/>
                <w:szCs w:val="22"/>
              </w:rPr>
              <w:t xml:space="preserve">This is a draft agreement prepared for attorney review. It has not been finalized. Do not present this document to affiliate partners or request signatures until counsel has reviewed and approved it.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Clinic ("Company")</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Miami Life Plastic Surgery, Miami, FL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Effective date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[Date of execution]</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Agreement version</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v1.0 — Draft</w:t>
            </w:r>
          </w:p>
        </w:tc>
      </w:tr>
    </w:tbl>
    <w:p>
      <w:r>
        <w:br w:type="page"/>
      </w:r>
    </w:p>
    <w:p>
      <w:pPr>
        <w:spacing w:after="120"/>
      </w:pPr>
      <w:r>
        <w:rPr>
          <w:rFonts w:ascii="Arial" w:cs="Arial" w:eastAsia="Arial" w:hAnsi="Arial"/>
          <w:color w:val="374151"/>
          <w:sz w:val="22"/>
          <w:szCs w:val="22"/>
        </w:rPr>
        <w:t xml:space="preserve">This Affiliate Partner Agreement ("Agreement") is entered into between Miami Life Plastic Surgery, a medical practice located in Miami, FL ("Company"), and the individual or entity identified as the Affiliate Partner ("Partner") on the signature page of this Agreement.</w:t>
      </w:r>
    </w:p>
    <w:p>
      <w:pPr>
        <w:spacing w:after="80"/>
      </w:pPr>
      <w:r>
        <w:t xml:space="preserve"/>
      </w:r>
    </w:p>
    <w:p>
      <w:pPr>
        <w:spacing w:after="120"/>
      </w:pPr>
      <w:r>
        <w:rPr>
          <w:rFonts w:ascii="Arial" w:cs="Arial" w:eastAsia="Arial" w:hAnsi="Arial"/>
          <w:color w:val="374151"/>
          <w:sz w:val="22"/>
          <w:szCs w:val="22"/>
        </w:rPr>
        <w:t xml:space="preserve">By signing this Agreement, Partner agrees to be bound by all terms set forth herein.</w:t>
      </w:r>
    </w:p>
    <w:p>
      <w:pPr>
        <w:pStyle w:val="Heading1"/>
        <w:spacing w:after="160" w:before="360"/>
      </w:pPr>
      <w:r>
        <w:rPr>
          <w:rFonts w:ascii="Arial" w:cs="Arial" w:eastAsia="Arial" w:hAnsi="Arial"/>
          <w:b/>
          <w:bCs/>
          <w:color w:val="1F2937"/>
          <w:sz w:val="36"/>
          <w:szCs w:val="36"/>
        </w:rPr>
        <w:t xml:space="preserve">1. Program Description</w:t>
      </w:r>
    </w:p>
    <w:p>
      <w:pPr>
        <w:spacing w:after="120"/>
      </w:pPr>
      <w:r>
        <w:rPr>
          <w:rFonts w:ascii="Arial" w:cs="Arial" w:eastAsia="Arial" w:hAnsi="Arial"/>
          <w:color w:val="374151"/>
          <w:sz w:val="22"/>
          <w:szCs w:val="22"/>
        </w:rPr>
        <w:t xml:space="preserve">The Company operates an affiliate marketing program through the SymetriHealth platform (the "Platform"). Under this Program, the Partner will promote the Company's complimentary AI-powered facial evaluation service to their social media audience. When a member of Partner's audience completes the evaluation, Partner becomes eligible for a payout as described in Section 4.</w:t>
      </w:r>
    </w:p>
    <w:p>
      <w:pPr>
        <w:spacing w:after="80"/>
      </w:pPr>
      <w:r>
        <w:t xml:space="preserve"/>
      </w:r>
    </w:p>
    <w:p>
      <w:pPr>
        <w:spacing w:after="120"/>
      </w:pPr>
      <w:r>
        <w:rPr>
          <w:rFonts w:ascii="Arial" w:cs="Arial" w:eastAsia="Arial" w:hAnsi="Arial"/>
          <w:b/>
          <w:bCs/>
          <w:color w:val="1F2937"/>
          <w:sz w:val="22"/>
          <w:szCs w:val="22"/>
        </w:rPr>
        <w:t xml:space="preserve">The evaluation is a digital wellness tool — not a medical service. </w:t>
      </w:r>
      <w:r>
        <w:rPr>
          <w:rFonts w:ascii="Arial" w:cs="Arial" w:eastAsia="Arial" w:hAnsi="Arial"/>
          <w:color w:val="374151"/>
          <w:sz w:val="22"/>
          <w:szCs w:val="22"/>
        </w:rPr>
        <w:t xml:space="preserve">It uses AI to analyze facial characteristics and generate an informational report. It does not constitute a medical diagnosis, clinical assessment, or treatment recommendation.</w:t>
      </w:r>
    </w:p>
    <w:p>
      <w:pPr>
        <w:pStyle w:val="Heading1"/>
        <w:spacing w:after="160" w:before="360"/>
      </w:pPr>
      <w:r>
        <w:rPr>
          <w:rFonts w:ascii="Arial" w:cs="Arial" w:eastAsia="Arial" w:hAnsi="Arial"/>
          <w:b/>
          <w:bCs/>
          <w:color w:val="1F2937"/>
          <w:sz w:val="36"/>
          <w:szCs w:val="36"/>
        </w:rPr>
        <w:t xml:space="preserve">2. Partner Eligibility and Enrollment</w:t>
      </w:r>
    </w:p>
    <w:p>
      <w:pPr>
        <w:spacing w:after="120"/>
      </w:pPr>
      <w:r>
        <w:rPr>
          <w:rFonts w:ascii="Arial" w:cs="Arial" w:eastAsia="Arial" w:hAnsi="Arial"/>
          <w:color w:val="374151"/>
          <w:sz w:val="22"/>
          <w:szCs w:val="22"/>
        </w:rPr>
        <w:t xml:space="preserve">To participate in the Program, Partner must:</w:t>
      </w:r>
    </w:p>
    <w:p>
      <w:pPr>
        <w:pStyle w:val="ListParagraph"/>
        <w:numPr>
          <w:ilvl w:val="0"/>
          <w:numId w:val="2"/>
        </w:numPr>
        <w:spacing w:after="80"/>
      </w:pPr>
      <w:r>
        <w:rPr>
          <w:rFonts w:ascii="Arial" w:cs="Arial" w:eastAsia="Arial" w:hAnsi="Arial"/>
          <w:color w:val="374151"/>
          <w:sz w:val="22"/>
          <w:szCs w:val="22"/>
        </w:rPr>
        <w:t xml:space="preserve">Be at least 18 years of age.</w:t>
      </w:r>
    </w:p>
    <w:p>
      <w:pPr>
        <w:pStyle w:val="ListParagraph"/>
        <w:numPr>
          <w:ilvl w:val="0"/>
          <w:numId w:val="2"/>
        </w:numPr>
        <w:spacing w:after="80"/>
      </w:pPr>
      <w:r>
        <w:rPr>
          <w:rFonts w:ascii="Arial" w:cs="Arial" w:eastAsia="Arial" w:hAnsi="Arial"/>
          <w:color w:val="374151"/>
          <w:sz w:val="22"/>
          <w:szCs w:val="22"/>
        </w:rPr>
        <w:t xml:space="preserve">Maintain an active social media presence with an engaged audience.</w:t>
      </w:r>
    </w:p>
    <w:p>
      <w:pPr>
        <w:pStyle w:val="ListParagraph"/>
        <w:numPr>
          <w:ilvl w:val="0"/>
          <w:numId w:val="2"/>
        </w:numPr>
        <w:spacing w:after="80"/>
      </w:pPr>
      <w:r>
        <w:rPr>
          <w:rFonts w:ascii="Arial" w:cs="Arial" w:eastAsia="Arial" w:hAnsi="Arial"/>
          <w:color w:val="374151"/>
          <w:sz w:val="22"/>
          <w:szCs w:val="22"/>
        </w:rPr>
        <w:t xml:space="preserve">Accept the then-current version of these Terms and any applicable Platform terms.</w:t>
      </w:r>
    </w:p>
    <w:p>
      <w:pPr>
        <w:pStyle w:val="ListParagraph"/>
        <w:numPr>
          <w:ilvl w:val="0"/>
          <w:numId w:val="2"/>
        </w:numPr>
        <w:spacing w:after="80"/>
      </w:pPr>
      <w:r>
        <w:rPr>
          <w:rFonts w:ascii="Arial" w:cs="Arial" w:eastAsia="Arial" w:hAnsi="Arial"/>
          <w:color w:val="374151"/>
          <w:sz w:val="22"/>
          <w:szCs w:val="22"/>
        </w:rPr>
        <w:t xml:space="preserve">Provide accurate contact and payment information.</w:t>
      </w:r>
    </w:p>
    <w:p>
      <w:pPr>
        <w:pStyle w:val="ListParagraph"/>
        <w:numPr>
          <w:ilvl w:val="0"/>
          <w:numId w:val="2"/>
        </w:numPr>
        <w:spacing w:after="80"/>
      </w:pPr>
      <w:r>
        <w:rPr>
          <w:rFonts w:ascii="Arial" w:cs="Arial" w:eastAsia="Arial" w:hAnsi="Arial"/>
          <w:color w:val="374151"/>
          <w:sz w:val="22"/>
          <w:szCs w:val="22"/>
        </w:rPr>
        <w:t xml:space="preserve">Not be a licensed healthcare provider whose participation would create regulatory concerns, as determined by the Company in its sole discretion.</w:t>
      </w:r>
    </w:p>
    <w:p>
      <w:pPr>
        <w:pStyle w:val="Heading1"/>
        <w:spacing w:after="160" w:before="360"/>
      </w:pPr>
      <w:r>
        <w:rPr>
          <w:rFonts w:ascii="Arial" w:cs="Arial" w:eastAsia="Arial" w:hAnsi="Arial"/>
          <w:b/>
          <w:bCs/>
          <w:color w:val="1F2937"/>
          <w:sz w:val="36"/>
          <w:szCs w:val="36"/>
        </w:rPr>
        <w:t xml:space="preserve">3. FTC Disclosure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EE2E2" w:val="clear"/>
            <w:tcMar>
              <w:top w:type="dxa" w:w="80"/>
              <w:left w:type="dxa" w:w="200"/>
              <w:bottom w:type="dxa" w:w="0"/>
              <w:right w:type="dxa" w:w="200"/>
            </w:tcMar>
          </w:tcPr>
          <w:p>
            <w:pPr>
              <w:spacing w:after="40"/>
            </w:pPr>
            <w:r>
              <w:rPr>
                <w:rFonts w:ascii="Arial" w:cs="Arial" w:eastAsia="Arial" w:hAnsi="Arial"/>
                <w:b/>
                <w:bCs/>
                <w:color w:val="991B1B"/>
                <w:sz w:val="22"/>
                <w:szCs w:val="22"/>
              </w:rPr>
              <w:t xml:space="preserve">This section is mandatory and non-negotiable.</w:t>
            </w:r>
          </w:p>
        </w:tc>
      </w:tr>
      <w:tr>
        <w:tc>
          <w:tcPr>
            <w:tcBorders>
              <w:top w:val="none" w:color="FFFFFF" w:sz="0"/>
              <w:left w:val="none" w:color="FFFFFF" w:sz="0"/>
              <w:bottom w:val="none" w:color="FFFFFF" w:sz="0"/>
              <w:right w:val="none" w:color="FFFFFF" w:sz="0"/>
            </w:tcBorders>
            <w:shd w:fill="FEE2E2" w:val="clear"/>
            <w:tcMar>
              <w:top w:type="dxa" w:w="0"/>
              <w:left w:type="dxa" w:w="200"/>
              <w:bottom w:type="dxa" w:w="120"/>
              <w:right w:type="dxa" w:w="200"/>
            </w:tcMar>
          </w:tcPr>
          <w:p>
            <w:pPr>
              <w:spacing w:after="0"/>
            </w:pPr>
            <w:r>
              <w:rPr>
                <w:rFonts w:ascii="Arial" w:cs="Arial" w:eastAsia="Arial" w:hAnsi="Arial"/>
                <w:color w:val="991B1B"/>
                <w:sz w:val="22"/>
                <w:szCs w:val="22"/>
              </w:rPr>
              <w:t xml:space="preserve">Failure to comply with FTC disclosure requirements is grounds for immediate termination of this Agreement and forfeiture of all pending and future payouts. The FTC can impose civil penalties on both the influencer and the brand for non-disclosure.</w:t>
            </w:r>
          </w:p>
        </w:tc>
      </w:tr>
    </w:tbl>
    <w:p>
      <w:pPr>
        <w:spacing w:after="120"/>
      </w:pPr>
      <w:r>
        <w:t xml:space="preserve"/>
      </w:r>
    </w:p>
    <w:p>
      <w:pPr>
        <w:spacing w:after="120"/>
      </w:pPr>
      <w:r>
        <w:rPr>
          <w:rFonts w:ascii="Arial" w:cs="Arial" w:eastAsia="Arial" w:hAnsi="Arial"/>
          <w:b/>
          <w:bCs/>
          <w:color w:val="1F2937"/>
          <w:sz w:val="22"/>
          <w:szCs w:val="22"/>
        </w:rPr>
        <w:t xml:space="preserve">3.1 Mandatory Disclosure. </w:t>
      </w:r>
      <w:r>
        <w:rPr>
          <w:rFonts w:ascii="Arial" w:cs="Arial" w:eastAsia="Arial" w:hAnsi="Arial"/>
          <w:color w:val="374151"/>
          <w:sz w:val="22"/>
          <w:szCs w:val="22"/>
        </w:rPr>
        <w:t xml:space="preserve">Partner must clearly and conspicuously disclose the material connection between Partner and the Company in every piece of content that promotes, mentions, links to, or references the Company, the evaluation tool, or any tracking link provided under this Agreement.</w:t>
      </w:r>
    </w:p>
    <w:p>
      <w:pPr>
        <w:spacing w:after="80"/>
      </w:pPr>
      <w:r>
        <w:t xml:space="preserve"/>
      </w:r>
    </w:p>
    <w:p>
      <w:pPr>
        <w:spacing w:after="120"/>
      </w:pPr>
      <w:r>
        <w:rPr>
          <w:rFonts w:ascii="Arial" w:cs="Arial" w:eastAsia="Arial" w:hAnsi="Arial"/>
          <w:b/>
          <w:bCs/>
          <w:color w:val="1F2937"/>
          <w:sz w:val="22"/>
          <w:szCs w:val="22"/>
        </w:rPr>
        <w:t xml:space="preserve">3.2 Accepted Disclosure Formats. </w:t>
      </w:r>
      <w:r>
        <w:rPr>
          <w:rFonts w:ascii="Arial" w:cs="Arial" w:eastAsia="Arial" w:hAnsi="Arial"/>
          <w:color w:val="374151"/>
          <w:sz w:val="22"/>
          <w:szCs w:val="22"/>
        </w:rPr>
        <w:t xml:space="preserve">Disclosure must use one of the following formats (or equivalent language approved in writing by Company):</w:t>
      </w:r>
    </w:p>
    <w:p>
      <w:pPr>
        <w:pStyle w:val="ListParagraph"/>
        <w:numPr>
          <w:ilvl w:val="0"/>
          <w:numId w:val="3"/>
        </w:numPr>
        <w:spacing w:after="80"/>
      </w:pPr>
      <w:r>
        <w:rPr>
          <w:rFonts w:ascii="Arial" w:cs="Arial" w:eastAsia="Arial" w:hAnsi="Arial"/>
          <w:color w:val="374151"/>
          <w:sz w:val="22"/>
          <w:szCs w:val="22"/>
        </w:rPr>
        <w:t xml:space="preserve">#ad</w:t>
      </w:r>
    </w:p>
    <w:p>
      <w:pPr>
        <w:pStyle w:val="ListParagraph"/>
        <w:numPr>
          <w:ilvl w:val="0"/>
          <w:numId w:val="3"/>
        </w:numPr>
        <w:spacing w:after="80"/>
      </w:pPr>
      <w:r>
        <w:rPr>
          <w:rFonts w:ascii="Arial" w:cs="Arial" w:eastAsia="Arial" w:hAnsi="Arial"/>
          <w:color w:val="374151"/>
          <w:sz w:val="22"/>
          <w:szCs w:val="22"/>
        </w:rPr>
        <w:t xml:space="preserve">#sponsored</w:t>
      </w:r>
    </w:p>
    <w:p>
      <w:pPr>
        <w:pStyle w:val="ListParagraph"/>
        <w:numPr>
          <w:ilvl w:val="0"/>
          <w:numId w:val="3"/>
        </w:numPr>
        <w:spacing w:after="80"/>
      </w:pPr>
      <w:r>
        <w:rPr>
          <w:rFonts w:ascii="Arial" w:cs="Arial" w:eastAsia="Arial" w:hAnsi="Arial"/>
          <w:color w:val="374151"/>
          <w:sz w:val="22"/>
          <w:szCs w:val="22"/>
        </w:rPr>
        <w:t xml:space="preserve">"Paid partnership with Miami Life Plastic Surgery"</w:t>
      </w:r>
    </w:p>
    <w:p>
      <w:pPr>
        <w:pStyle w:val="ListParagraph"/>
        <w:numPr>
          <w:ilvl w:val="0"/>
          <w:numId w:val="3"/>
        </w:numPr>
        <w:spacing w:after="80"/>
      </w:pPr>
      <w:r>
        <w:rPr>
          <w:rFonts w:ascii="Arial" w:cs="Arial" w:eastAsia="Arial" w:hAnsi="Arial"/>
          <w:color w:val="374151"/>
          <w:sz w:val="22"/>
          <w:szCs w:val="22"/>
        </w:rPr>
        <w:t xml:space="preserve">Platform native "Paid Partnership" label (Instagram, TikTok, YouTube)</w:t>
      </w:r>
    </w:p>
    <w:p>
      <w:pPr>
        <w:pStyle w:val="ListParagraph"/>
        <w:numPr>
          <w:ilvl w:val="0"/>
          <w:numId w:val="3"/>
        </w:numPr>
        <w:spacing w:after="80"/>
      </w:pPr>
      <w:r>
        <w:rPr>
          <w:rFonts w:ascii="Arial" w:cs="Arial" w:eastAsia="Arial" w:hAnsi="Arial"/>
          <w:color w:val="374151"/>
          <w:sz w:val="22"/>
          <w:szCs w:val="22"/>
        </w:rPr>
        <w:t xml:space="preserve">"[Clinic name] paid me to share this"</w:t>
      </w:r>
    </w:p>
    <w:p>
      <w:pPr>
        <w:spacing w:after="80"/>
      </w:pPr>
      <w:r>
        <w:t xml:space="preserve"/>
      </w:r>
    </w:p>
    <w:p>
      <w:pPr>
        <w:spacing w:after="120"/>
      </w:pPr>
      <w:r>
        <w:rPr>
          <w:rFonts w:ascii="Arial" w:cs="Arial" w:eastAsia="Arial" w:hAnsi="Arial"/>
          <w:b/>
          <w:bCs/>
          <w:color w:val="1F2937"/>
          <w:sz w:val="22"/>
          <w:szCs w:val="22"/>
        </w:rPr>
        <w:t xml:space="preserve">3.3 Placement. </w:t>
      </w:r>
      <w:r>
        <w:rPr>
          <w:rFonts w:ascii="Arial" w:cs="Arial" w:eastAsia="Arial" w:hAnsi="Arial"/>
          <w:color w:val="374151"/>
          <w:sz w:val="22"/>
          <w:szCs w:val="22"/>
        </w:rPr>
        <w:t xml:space="preserve">Disclosure must appear before or at the beginning of the content — not buried at the end of a caption, hidden in a list of hashtags, or placed below a "more" truncation. For video content, verbal disclosure must appear within the first 30 seconds.</w:t>
      </w:r>
    </w:p>
    <w:p>
      <w:pPr>
        <w:spacing w:after="80"/>
      </w:pPr>
      <w:r>
        <w:t xml:space="preserve"/>
      </w:r>
    </w:p>
    <w:p>
      <w:pPr>
        <w:spacing w:after="120"/>
      </w:pPr>
      <w:r>
        <w:rPr>
          <w:rFonts w:ascii="Arial" w:cs="Arial" w:eastAsia="Arial" w:hAnsi="Arial"/>
          <w:b/>
          <w:bCs/>
          <w:color w:val="1F2937"/>
          <w:sz w:val="22"/>
          <w:szCs w:val="22"/>
        </w:rPr>
        <w:t xml:space="preserve">3.4 Frequency. </w:t>
      </w:r>
      <w:r>
        <w:rPr>
          <w:rFonts w:ascii="Arial" w:cs="Arial" w:eastAsia="Arial" w:hAnsi="Arial"/>
          <w:color w:val="374151"/>
          <w:sz w:val="22"/>
          <w:szCs w:val="22"/>
        </w:rPr>
        <w:t xml:space="preserve">Disclosure is required on every individual post, story, video, or other piece of content. A single disclosure in a bio or on a profile page does not satisfy this requirement.</w:t>
      </w:r>
    </w:p>
    <w:p>
      <w:pPr>
        <w:spacing w:after="80"/>
      </w:pPr>
      <w:r>
        <w:t xml:space="preserve"/>
      </w:r>
    </w:p>
    <w:p>
      <w:pPr>
        <w:spacing w:after="120"/>
      </w:pPr>
      <w:r>
        <w:rPr>
          <w:rFonts w:ascii="Arial" w:cs="Arial" w:eastAsia="Arial" w:hAnsi="Arial"/>
          <w:b/>
          <w:bCs/>
          <w:color w:val="1F2937"/>
          <w:sz w:val="22"/>
          <w:szCs w:val="22"/>
        </w:rPr>
        <w:t xml:space="preserve">3.5 Platform Compliance. </w:t>
      </w:r>
      <w:r>
        <w:rPr>
          <w:rFonts w:ascii="Arial" w:cs="Arial" w:eastAsia="Arial" w:hAnsi="Arial"/>
          <w:color w:val="374151"/>
          <w:sz w:val="22"/>
          <w:szCs w:val="22"/>
        </w:rPr>
        <w:t xml:space="preserve">Partner must comply with the disclosure requirements of each platform on which they post. Use of a platform's native paid partnership labeling tool is encouraged.</w:t>
      </w:r>
    </w:p>
    <w:p>
      <w:pPr>
        <w:spacing w:after="80"/>
      </w:pPr>
      <w:r>
        <w:t xml:space="preserve"/>
      </w:r>
    </w:p>
    <w:p>
      <w:pPr>
        <w:spacing w:after="120"/>
      </w:pPr>
      <w:r>
        <w:rPr>
          <w:rFonts w:ascii="Arial" w:cs="Arial" w:eastAsia="Arial" w:hAnsi="Arial"/>
          <w:b/>
          <w:bCs/>
          <w:color w:val="1F2937"/>
          <w:sz w:val="22"/>
          <w:szCs w:val="22"/>
        </w:rPr>
        <w:t xml:space="preserve">3.6 Retention. </w:t>
      </w:r>
      <w:r>
        <w:rPr>
          <w:rFonts w:ascii="Arial" w:cs="Arial" w:eastAsia="Arial" w:hAnsi="Arial"/>
          <w:color w:val="374151"/>
          <w:sz w:val="22"/>
          <w:szCs w:val="22"/>
        </w:rPr>
        <w:t xml:space="preserve">Partner must retain records of all content published under this Agreement for a minimum of 3 years and provide copies to Company on request.</w:t>
      </w:r>
    </w:p>
    <w:p>
      <w:pPr>
        <w:pStyle w:val="Heading1"/>
        <w:spacing w:after="160" w:before="360"/>
      </w:pPr>
      <w:r>
        <w:rPr>
          <w:rFonts w:ascii="Arial" w:cs="Arial" w:eastAsia="Arial" w:hAnsi="Arial"/>
          <w:b/>
          <w:bCs/>
          <w:color w:val="1F2937"/>
          <w:sz w:val="36"/>
          <w:szCs w:val="36"/>
        </w:rPr>
        <w:t xml:space="preserve">4. Payout Structure</w:t>
      </w:r>
    </w:p>
    <w:p>
      <w:pPr>
        <w:spacing w:after="120"/>
      </w:pPr>
      <w:r>
        <w:rPr>
          <w:rFonts w:ascii="Arial" w:cs="Arial" w:eastAsia="Arial" w:hAnsi="Arial"/>
          <w:b/>
          <w:bCs/>
          <w:color w:val="1F2937"/>
          <w:sz w:val="22"/>
          <w:szCs w:val="22"/>
        </w:rPr>
        <w:t xml:space="preserve">4.1 Qualifying Event. </w:t>
      </w:r>
      <w:r>
        <w:rPr>
          <w:rFonts w:ascii="Arial" w:cs="Arial" w:eastAsia="Arial" w:hAnsi="Arial"/>
          <w:color w:val="374151"/>
          <w:sz w:val="22"/>
          <w:szCs w:val="22"/>
        </w:rPr>
        <w:t xml:space="preserve">Partner earns a payout when a unique visitor who arrives via Partner's tracking link completes the AI evaluation in its entirety, including: submitting valid contact information, uploading required photos, and completing the medical history questionnaire.</w:t>
      </w:r>
    </w:p>
    <w:p>
      <w:pPr>
        <w:spacing w:after="80"/>
      </w:pPr>
      <w:r>
        <w:t xml:space="preserve"/>
      </w:r>
    </w:p>
    <w:p>
      <w:pPr>
        <w:spacing w:after="120"/>
      </w:pPr>
      <w:r>
        <w:rPr>
          <w:rFonts w:ascii="Arial" w:cs="Arial" w:eastAsia="Arial" w:hAnsi="Arial"/>
          <w:b/>
          <w:bCs/>
          <w:color w:val="1F2937"/>
          <w:sz w:val="22"/>
          <w:szCs w:val="22"/>
        </w:rPr>
        <w:t xml:space="preserve">4.2 Non-Qualifying Events. </w:t>
      </w:r>
      <w:r>
        <w:rPr>
          <w:rFonts w:ascii="Arial" w:cs="Arial" w:eastAsia="Arial" w:hAnsi="Arial"/>
          <w:color w:val="374151"/>
          <w:sz w:val="22"/>
          <w:szCs w:val="22"/>
        </w:rPr>
        <w:t xml:space="preserve">The following do not trigger payouts: clicks without evaluation completion; evaluation starts without completion; duplicate submissions from the same visitor; submissions flagged as fraudulent by the Platform's automated fraud detection system.</w:t>
      </w:r>
    </w:p>
    <w:p>
      <w:pPr>
        <w:spacing w:after="80"/>
      </w:pPr>
      <w:r>
        <w:t xml:space="preserve"/>
      </w:r>
    </w:p>
    <w:p>
      <w:pPr>
        <w:spacing w:after="120"/>
      </w:pPr>
      <w:r>
        <w:rPr>
          <w:rFonts w:ascii="Arial" w:cs="Arial" w:eastAsia="Arial" w:hAnsi="Arial"/>
          <w:b/>
          <w:bCs/>
          <w:color w:val="1F2937"/>
          <w:sz w:val="22"/>
          <w:szCs w:val="22"/>
        </w:rPr>
        <w:t xml:space="preserve">4.3 Payout Amount. </w:t>
      </w:r>
      <w:r>
        <w:rPr>
          <w:rFonts w:ascii="Arial" w:cs="Arial" w:eastAsia="Arial" w:hAnsi="Arial"/>
          <w:color w:val="374151"/>
          <w:sz w:val="22"/>
          <w:szCs w:val="22"/>
        </w:rPr>
        <w:t xml:space="preserve">The per-evaluation payout amount is stated in Partner's account profile in the Platform and may be updated by Company with 14 days' written notice. The current rate at the time of signing is set forth on the signature page.</w:t>
      </w:r>
    </w:p>
    <w:p>
      <w:pPr>
        <w:spacing w:after="80"/>
      </w:pPr>
      <w:r>
        <w:t xml:space="preserve"/>
      </w:r>
    </w:p>
    <w:p>
      <w:pPr>
        <w:spacing w:after="120"/>
      </w:pPr>
      <w:r>
        <w:rPr>
          <w:rFonts w:ascii="Arial" w:cs="Arial" w:eastAsia="Arial" w:hAnsi="Arial"/>
          <w:b/>
          <w:bCs/>
          <w:color w:val="1F2937"/>
          <w:sz w:val="22"/>
          <w:szCs w:val="22"/>
        </w:rPr>
        <w:t xml:space="preserve">4.4 Hold Period. </w:t>
      </w:r>
      <w:r>
        <w:rPr>
          <w:rFonts w:ascii="Arial" w:cs="Arial" w:eastAsia="Arial" w:hAnsi="Arial"/>
          <w:color w:val="374151"/>
          <w:sz w:val="22"/>
          <w:szCs w:val="22"/>
        </w:rPr>
        <w:t xml:space="preserve">All payouts are subject to a hold period of [14–30] days from the date of the qualifying event. During the hold period, the Company reviews the evaluation for fraud signals, validity, and compliance. The hold period may be extended if additional review is required.</w:t>
      </w:r>
    </w:p>
    <w:p>
      <w:pPr>
        <w:spacing w:after="80"/>
      </w:pPr>
      <w:r>
        <w:t xml:space="preserve"/>
      </w:r>
    </w:p>
    <w:p>
      <w:pPr>
        <w:spacing w:after="120"/>
      </w:pPr>
      <w:r>
        <w:rPr>
          <w:rFonts w:ascii="Arial" w:cs="Arial" w:eastAsia="Arial" w:hAnsi="Arial"/>
          <w:b/>
          <w:bCs/>
          <w:color w:val="1F2937"/>
          <w:sz w:val="22"/>
          <w:szCs w:val="22"/>
        </w:rPr>
        <w:t xml:space="preserve">4.5 Review and Approval. </w:t>
      </w:r>
      <w:r>
        <w:rPr>
          <w:rFonts w:ascii="Arial" w:cs="Arial" w:eastAsia="Arial" w:hAnsi="Arial"/>
          <w:color w:val="374151"/>
          <w:sz w:val="22"/>
          <w:szCs w:val="22"/>
        </w:rPr>
        <w:t xml:space="preserve">Following the hold period, the Company will approve or reject each payout. Payouts may be rejected for reasons including: suspected fraud, invalid or duplicate submissions, policy violations by Partner, or material breach of this Agreement.</w:t>
      </w:r>
    </w:p>
    <w:p>
      <w:pPr>
        <w:spacing w:after="80"/>
      </w:pPr>
      <w:r>
        <w:t xml:space="preserve"/>
      </w:r>
    </w:p>
    <w:p>
      <w:pPr>
        <w:spacing w:after="120"/>
      </w:pPr>
      <w:r>
        <w:rPr>
          <w:rFonts w:ascii="Arial" w:cs="Arial" w:eastAsia="Arial" w:hAnsi="Arial"/>
          <w:b/>
          <w:bCs/>
          <w:color w:val="1F2937"/>
          <w:sz w:val="22"/>
          <w:szCs w:val="22"/>
        </w:rPr>
        <w:t xml:space="preserve">4.6 Monthly Cap. </w:t>
      </w:r>
      <w:r>
        <w:rPr>
          <w:rFonts w:ascii="Arial" w:cs="Arial" w:eastAsia="Arial" w:hAnsi="Arial"/>
          <w:color w:val="374151"/>
          <w:sz w:val="22"/>
          <w:szCs w:val="22"/>
        </w:rPr>
        <w:t xml:space="preserve">Company may set a monthly cap on total payouts per partner or per campaign. Partner will be notified of any applicable cap in their account profile.</w:t>
      </w:r>
    </w:p>
    <w:p>
      <w:pPr>
        <w:spacing w:after="80"/>
      </w:pPr>
      <w:r>
        <w:t xml:space="preserve"/>
      </w:r>
    </w:p>
    <w:p>
      <w:pPr>
        <w:spacing w:after="120"/>
      </w:pPr>
      <w:r>
        <w:rPr>
          <w:rFonts w:ascii="Arial" w:cs="Arial" w:eastAsia="Arial" w:hAnsi="Arial"/>
          <w:b/>
          <w:bCs/>
          <w:color w:val="1F2937"/>
          <w:sz w:val="22"/>
          <w:szCs w:val="22"/>
        </w:rPr>
        <w:t xml:space="preserve">4.7 Taxes. </w:t>
      </w:r>
      <w:r>
        <w:rPr>
          <w:rFonts w:ascii="Arial" w:cs="Arial" w:eastAsia="Arial" w:hAnsi="Arial"/>
          <w:color w:val="374151"/>
          <w:sz w:val="22"/>
          <w:szCs w:val="22"/>
        </w:rPr>
        <w:t xml:space="preserve">Partner is solely responsible for all taxes on payments received under this Agreement. Company will issue a Form 1099-NEC (or equivalent) as required by applicable law. Partner certifies that they will provide accurate tax information upon request.</w:t>
      </w:r>
    </w:p>
    <w:p>
      <w:pPr>
        <w:pStyle w:val="Heading1"/>
        <w:spacing w:after="160" w:before="360"/>
      </w:pPr>
      <w:r>
        <w:rPr>
          <w:rFonts w:ascii="Arial" w:cs="Arial" w:eastAsia="Arial" w:hAnsi="Arial"/>
          <w:b/>
          <w:bCs/>
          <w:color w:val="1F2937"/>
          <w:sz w:val="36"/>
          <w:szCs w:val="36"/>
        </w:rPr>
        <w:t xml:space="preserve">5. Prohibited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0"/>
              <w:right w:type="dxa" w:w="200"/>
            </w:tcMar>
          </w:tcPr>
          <w:p>
            <w:pPr>
              <w:spacing w:after="40"/>
            </w:pPr>
            <w:r>
              <w:rPr>
                <w:rFonts w:ascii="Arial" w:cs="Arial" w:eastAsia="Arial" w:hAnsi="Arial"/>
                <w:b/>
                <w:bCs/>
                <w:color w:val="92400E"/>
                <w:sz w:val="22"/>
                <w:szCs w:val="22"/>
              </w:rPr>
              <w:t xml:space="preserve">Attorney note — recommend review</w:t>
            </w:r>
          </w:p>
        </w:tc>
      </w:tr>
      <w:tr>
        <w:tc>
          <w:tcPr>
            <w:tcBorders>
              <w:top w:val="none" w:color="FFFFFF" w:sz="0"/>
              <w:left w:val="none" w:color="FFFFFF" w:sz="0"/>
              <w:bottom w:val="none" w:color="FFFFFF" w:sz="0"/>
              <w:right w:val="none" w:color="FFFFFF" w:sz="0"/>
            </w:tcBorders>
            <w:shd w:fill="FEF3C7" w:val="clear"/>
            <w:tcMar>
              <w:top w:type="dxa" w:w="0"/>
              <w:left w:type="dxa" w:w="200"/>
              <w:bottom w:type="dxa" w:w="120"/>
              <w:right w:type="dxa" w:w="200"/>
            </w:tcMar>
          </w:tcPr>
          <w:p>
            <w:pPr>
              <w:spacing w:after="0"/>
            </w:pPr>
            <w:r>
              <w:rPr>
                <w:rFonts w:ascii="Arial" w:cs="Arial" w:eastAsia="Arial" w:hAnsi="Arial"/>
                <w:color w:val="92400E"/>
                <w:sz w:val="22"/>
                <w:szCs w:val="22"/>
              </w:rPr>
              <w:t xml:space="preserve">This section should be reviewed by counsel familiar with FDA advertising regulations and FTC health claims standards. Additional restrictions may be warranted depending on the procedures offered.</w:t>
            </w:r>
          </w:p>
        </w:tc>
      </w:tr>
    </w:tbl>
    <w:p>
      <w:pPr>
        <w:spacing w:after="120"/>
      </w:pPr>
      <w:r>
        <w:t xml:space="preserve"/>
      </w:r>
    </w:p>
    <w:p>
      <w:pPr>
        <w:spacing w:after="120"/>
      </w:pPr>
      <w:r>
        <w:rPr>
          <w:rFonts w:ascii="Arial" w:cs="Arial" w:eastAsia="Arial" w:hAnsi="Arial"/>
          <w:color w:val="374151"/>
          <w:sz w:val="22"/>
          <w:szCs w:val="22"/>
        </w:rPr>
        <w:t xml:space="preserve">Partner agrees that all content created under this Agreement must comply with the following restrictions:</w:t>
      </w:r>
    </w:p>
    <w:p>
      <w:pPr>
        <w:spacing w:after="80"/>
      </w:pPr>
      <w:r>
        <w:t xml:space="preserve"/>
      </w:r>
    </w:p>
    <w:p>
      <w:pPr>
        <w:spacing w:after="120"/>
      </w:pPr>
      <w:r>
        <w:rPr>
          <w:rFonts w:ascii="Arial" w:cs="Arial" w:eastAsia="Arial" w:hAnsi="Arial"/>
          <w:b/>
          <w:bCs/>
          <w:color w:val="1F2937"/>
          <w:sz w:val="22"/>
          <w:szCs w:val="22"/>
        </w:rPr>
        <w:t xml:space="preserve">5.1 No Medical Claims. </w:t>
      </w:r>
      <w:r>
        <w:rPr>
          <w:rFonts w:ascii="Arial" w:cs="Arial" w:eastAsia="Arial" w:hAnsi="Arial"/>
          <w:color w:val="374151"/>
          <w:sz w:val="22"/>
          <w:szCs w:val="22"/>
        </w:rPr>
        <w:t xml:space="preserve">Partner must not make any claim that the AI evaluation is, provides, or substitutes for a medical diagnosis, clinical assessment, or treatment recommendation. Partner must not make any claim about the effectiveness, safety, or outcomes of any medical procedure offered by the Company.</w:t>
      </w:r>
    </w:p>
    <w:p>
      <w:pPr>
        <w:spacing w:after="80"/>
      </w:pPr>
      <w:r>
        <w:t xml:space="preserve"/>
      </w:r>
    </w:p>
    <w:p>
      <w:pPr>
        <w:spacing w:after="120"/>
      </w:pPr>
      <w:r>
        <w:rPr>
          <w:rFonts w:ascii="Arial" w:cs="Arial" w:eastAsia="Arial" w:hAnsi="Arial"/>
          <w:b/>
          <w:bCs/>
          <w:color w:val="1F2937"/>
          <w:sz w:val="22"/>
          <w:szCs w:val="22"/>
        </w:rPr>
        <w:t xml:space="preserve">5.2 Required Disclaimer. </w:t>
      </w:r>
      <w:r>
        <w:rPr>
          <w:rFonts w:ascii="Arial" w:cs="Arial" w:eastAsia="Arial" w:hAnsi="Arial"/>
          <w:color w:val="374151"/>
          <w:sz w:val="22"/>
          <w:szCs w:val="22"/>
        </w:rPr>
        <w:t xml:space="preserve">All content that references the evaluation must include the following disclaimer (or substantially equivalent language): "This AI evaluation is an informational tool — it is not a medical diagnosis. Consult a licensed physician for medical advice."</w:t>
      </w:r>
    </w:p>
    <w:p>
      <w:pPr>
        <w:spacing w:after="80"/>
      </w:pPr>
      <w:r>
        <w:t xml:space="preserve"/>
      </w:r>
    </w:p>
    <w:p>
      <w:pPr>
        <w:spacing w:after="120"/>
      </w:pPr>
      <w:r>
        <w:rPr>
          <w:rFonts w:ascii="Arial" w:cs="Arial" w:eastAsia="Arial" w:hAnsi="Arial"/>
          <w:b/>
          <w:bCs/>
          <w:color w:val="1F2937"/>
          <w:sz w:val="22"/>
          <w:szCs w:val="22"/>
        </w:rPr>
        <w:t xml:space="preserve">5.3 No Outcome Guarantees. </w:t>
      </w:r>
      <w:r>
        <w:rPr>
          <w:rFonts w:ascii="Arial" w:cs="Arial" w:eastAsia="Arial" w:hAnsi="Arial"/>
          <w:color w:val="374151"/>
          <w:sz w:val="22"/>
          <w:szCs w:val="22"/>
        </w:rPr>
        <w:t xml:space="preserve">Partner must not guarantee, imply, or describe specific medical outcomes. Phrases such as "this fixed my [condition]," "I look 10 years younger," or similar outcome-specific statements are prohibited.</w:t>
      </w:r>
    </w:p>
    <w:p>
      <w:pPr>
        <w:spacing w:after="80"/>
      </w:pPr>
      <w:r>
        <w:t xml:space="preserve"/>
      </w:r>
    </w:p>
    <w:p>
      <w:pPr>
        <w:spacing w:after="120"/>
      </w:pPr>
      <w:r>
        <w:rPr>
          <w:rFonts w:ascii="Arial" w:cs="Arial" w:eastAsia="Arial" w:hAnsi="Arial"/>
          <w:b/>
          <w:bCs/>
          <w:color w:val="1F2937"/>
          <w:sz w:val="22"/>
          <w:szCs w:val="22"/>
        </w:rPr>
        <w:t xml:space="preserve">5.4 No Before/After Content Without Approval. </w:t>
      </w:r>
      <w:r>
        <w:rPr>
          <w:rFonts w:ascii="Arial" w:cs="Arial" w:eastAsia="Arial" w:hAnsi="Arial"/>
          <w:color w:val="374151"/>
          <w:sz w:val="22"/>
          <w:szCs w:val="22"/>
        </w:rPr>
        <w:t xml:space="preserve">Partner must not publish before-and-after photos or videos from the AI evaluation or any procedure without prior written approval from Company. Approved before/after content must include appropriate context and disclaimers.</w:t>
      </w:r>
    </w:p>
    <w:p>
      <w:pPr>
        <w:spacing w:after="80"/>
      </w:pPr>
      <w:r>
        <w:t xml:space="preserve"/>
      </w:r>
    </w:p>
    <w:p>
      <w:pPr>
        <w:spacing w:after="120"/>
      </w:pPr>
      <w:r>
        <w:rPr>
          <w:rFonts w:ascii="Arial" w:cs="Arial" w:eastAsia="Arial" w:hAnsi="Arial"/>
          <w:b/>
          <w:bCs/>
          <w:color w:val="1F2937"/>
          <w:sz w:val="22"/>
          <w:szCs w:val="22"/>
        </w:rPr>
        <w:t xml:space="preserve">5.5 Accurate Representation. </w:t>
      </w:r>
      <w:r>
        <w:rPr>
          <w:rFonts w:ascii="Arial" w:cs="Arial" w:eastAsia="Arial" w:hAnsi="Arial"/>
          <w:color w:val="374151"/>
          <w:sz w:val="22"/>
          <w:szCs w:val="22"/>
        </w:rPr>
        <w:t xml:space="preserve">Partner must accurately represent the evaluation tool. Partner must not describe it as a "consultation," "diagnosis," "screening," or any term that implies clinical judgment.</w:t>
      </w:r>
    </w:p>
    <w:p>
      <w:pPr>
        <w:spacing w:after="80"/>
      </w:pPr>
      <w:r>
        <w:t xml:space="preserve"/>
      </w:r>
    </w:p>
    <w:p>
      <w:pPr>
        <w:spacing w:after="120"/>
      </w:pPr>
      <w:r>
        <w:rPr>
          <w:rFonts w:ascii="Arial" w:cs="Arial" w:eastAsia="Arial" w:hAnsi="Arial"/>
          <w:b/>
          <w:bCs/>
          <w:color w:val="1F2937"/>
          <w:sz w:val="22"/>
          <w:szCs w:val="22"/>
        </w:rPr>
        <w:t xml:space="preserve">5.6 Compliance with Platform Rules. </w:t>
      </w:r>
      <w:r>
        <w:rPr>
          <w:rFonts w:ascii="Arial" w:cs="Arial" w:eastAsia="Arial" w:hAnsi="Arial"/>
          <w:color w:val="374151"/>
          <w:sz w:val="22"/>
          <w:szCs w:val="22"/>
        </w:rPr>
        <w:t xml:space="preserve">Partner must comply with all applicable platform community guidelines, health content policies, and advertising standards of each social media platform on which content is published.</w:t>
      </w:r>
    </w:p>
    <w:p>
      <w:pPr>
        <w:spacing w:after="80"/>
      </w:pPr>
      <w:r>
        <w:t xml:space="preserve"/>
      </w:r>
    </w:p>
    <w:p>
      <w:pPr>
        <w:spacing w:after="120"/>
      </w:pPr>
      <w:r>
        <w:rPr>
          <w:rFonts w:ascii="Arial" w:cs="Arial" w:eastAsia="Arial" w:hAnsi="Arial"/>
          <w:b/>
          <w:bCs/>
          <w:color w:val="1F2937"/>
          <w:sz w:val="22"/>
          <w:szCs w:val="22"/>
        </w:rPr>
        <w:t xml:space="preserve">5.7 No Disparagement. </w:t>
      </w:r>
      <w:r>
        <w:rPr>
          <w:rFonts w:ascii="Arial" w:cs="Arial" w:eastAsia="Arial" w:hAnsi="Arial"/>
          <w:color w:val="374151"/>
          <w:sz w:val="22"/>
          <w:szCs w:val="22"/>
        </w:rPr>
        <w:t xml:space="preserve">Partner must not make negative, false, or misleading statements about the Company, its staff, or its services.</w:t>
      </w:r>
    </w:p>
    <w:p>
      <w:pPr>
        <w:pStyle w:val="Heading1"/>
        <w:spacing w:after="160" w:before="360"/>
      </w:pPr>
      <w:r>
        <w:rPr>
          <w:rFonts w:ascii="Arial" w:cs="Arial" w:eastAsia="Arial" w:hAnsi="Arial"/>
          <w:b/>
          <w:bCs/>
          <w:color w:val="1F2937"/>
          <w:sz w:val="36"/>
          <w:szCs w:val="36"/>
        </w:rPr>
        <w:t xml:space="preserve">6. Intellectual Property</w:t>
      </w:r>
    </w:p>
    <w:p>
      <w:pPr>
        <w:spacing w:after="120"/>
      </w:pPr>
      <w:r>
        <w:rPr>
          <w:rFonts w:ascii="Arial" w:cs="Arial" w:eastAsia="Arial" w:hAnsi="Arial"/>
          <w:b/>
          <w:bCs/>
          <w:color w:val="1F2937"/>
          <w:sz w:val="22"/>
          <w:szCs w:val="22"/>
        </w:rPr>
        <w:t xml:space="preserve">6.1 License to Company Materials. </w:t>
      </w:r>
      <w:r>
        <w:rPr>
          <w:rFonts w:ascii="Arial" w:cs="Arial" w:eastAsia="Arial" w:hAnsi="Arial"/>
          <w:color w:val="374151"/>
          <w:sz w:val="22"/>
          <w:szCs w:val="22"/>
        </w:rPr>
        <w:t xml:space="preserve">Company grants Partner a limited, non-exclusive, non-transferable license to use Company-approved campaign assets (images, captions, logos) solely for the purpose of promoting the affiliate program as described herein.</w:t>
      </w:r>
    </w:p>
    <w:p>
      <w:pPr>
        <w:spacing w:after="80"/>
      </w:pPr>
      <w:r>
        <w:t xml:space="preserve"/>
      </w:r>
    </w:p>
    <w:p>
      <w:pPr>
        <w:spacing w:after="120"/>
      </w:pPr>
      <w:r>
        <w:rPr>
          <w:rFonts w:ascii="Arial" w:cs="Arial" w:eastAsia="Arial" w:hAnsi="Arial"/>
          <w:b/>
          <w:bCs/>
          <w:color w:val="1F2937"/>
          <w:sz w:val="22"/>
          <w:szCs w:val="22"/>
        </w:rPr>
        <w:t xml:space="preserve">6.2 License to Partner Content. </w:t>
      </w:r>
      <w:r>
        <w:rPr>
          <w:rFonts w:ascii="Arial" w:cs="Arial" w:eastAsia="Arial" w:hAnsi="Arial"/>
          <w:color w:val="374151"/>
          <w:sz w:val="22"/>
          <w:szCs w:val="22"/>
        </w:rPr>
        <w:t xml:space="preserve">Partner grants Company a perpetual, royalty-free, worldwide license to use, reproduce, and display content created by Partner under this Agreement for marketing and promotional purposes, including attribution to Partner.</w:t>
      </w:r>
    </w:p>
    <w:p>
      <w:pPr>
        <w:spacing w:after="80"/>
      </w:pPr>
      <w:r>
        <w:t xml:space="preserve"/>
      </w:r>
    </w:p>
    <w:p>
      <w:pPr>
        <w:spacing w:after="120"/>
      </w:pPr>
      <w:r>
        <w:rPr>
          <w:rFonts w:ascii="Arial" w:cs="Arial" w:eastAsia="Arial" w:hAnsi="Arial"/>
          <w:b/>
          <w:bCs/>
          <w:color w:val="1F2937"/>
          <w:sz w:val="22"/>
          <w:szCs w:val="22"/>
        </w:rPr>
        <w:t xml:space="preserve">6.3 Restrictions. </w:t>
      </w:r>
      <w:r>
        <w:rPr>
          <w:rFonts w:ascii="Arial" w:cs="Arial" w:eastAsia="Arial" w:hAnsi="Arial"/>
          <w:color w:val="374151"/>
          <w:sz w:val="22"/>
          <w:szCs w:val="22"/>
        </w:rPr>
        <w:t xml:space="preserve">Partner must not modify Company-approved assets without written consent. Partner must not use the Company's name, logo, or trademarks in a manner that implies endorsement, sponsorship, or partnership beyond what is described in this Agreement.</w:t>
      </w:r>
    </w:p>
    <w:p>
      <w:pPr>
        <w:pStyle w:val="Heading1"/>
        <w:spacing w:after="160" w:before="360"/>
      </w:pPr>
      <w:r>
        <w:rPr>
          <w:rFonts w:ascii="Arial" w:cs="Arial" w:eastAsia="Arial" w:hAnsi="Arial"/>
          <w:b/>
          <w:bCs/>
          <w:color w:val="1F2937"/>
          <w:sz w:val="36"/>
          <w:szCs w:val="36"/>
        </w:rPr>
        <w:t xml:space="preserve">7. Term and Termination</w:t>
      </w:r>
    </w:p>
    <w:p>
      <w:pPr>
        <w:spacing w:after="120"/>
      </w:pPr>
      <w:r>
        <w:rPr>
          <w:rFonts w:ascii="Arial" w:cs="Arial" w:eastAsia="Arial" w:hAnsi="Arial"/>
          <w:b/>
          <w:bCs/>
          <w:color w:val="1F2937"/>
          <w:sz w:val="22"/>
          <w:szCs w:val="22"/>
        </w:rPr>
        <w:t xml:space="preserve">7.1 Term. </w:t>
      </w:r>
      <w:r>
        <w:rPr>
          <w:rFonts w:ascii="Arial" w:cs="Arial" w:eastAsia="Arial" w:hAnsi="Arial"/>
          <w:color w:val="374151"/>
          <w:sz w:val="22"/>
          <w:szCs w:val="22"/>
        </w:rPr>
        <w:t xml:space="preserve">This Agreement begins on the date of execution and continues until terminated by either party.</w:t>
      </w:r>
    </w:p>
    <w:p>
      <w:pPr>
        <w:spacing w:after="80"/>
      </w:pPr>
      <w:r>
        <w:t xml:space="preserve"/>
      </w:r>
    </w:p>
    <w:p>
      <w:pPr>
        <w:spacing w:after="120"/>
      </w:pPr>
      <w:r>
        <w:rPr>
          <w:rFonts w:ascii="Arial" w:cs="Arial" w:eastAsia="Arial" w:hAnsi="Arial"/>
          <w:b/>
          <w:bCs/>
          <w:color w:val="1F2937"/>
          <w:sz w:val="22"/>
          <w:szCs w:val="22"/>
        </w:rPr>
        <w:t xml:space="preserve">7.2 Termination by Company. </w:t>
      </w:r>
      <w:r>
        <w:rPr>
          <w:rFonts w:ascii="Arial" w:cs="Arial" w:eastAsia="Arial" w:hAnsi="Arial"/>
          <w:color w:val="374151"/>
          <w:sz w:val="22"/>
          <w:szCs w:val="22"/>
        </w:rPr>
        <w:t xml:space="preserve">Company may terminate this Agreement immediately, without notice, for: material breach of any term herein; FTC disclosure violations; prohibited content violations; suspected fraudulent activity; or any reason with 14 days' written notice.</w:t>
      </w:r>
    </w:p>
    <w:p>
      <w:pPr>
        <w:spacing w:after="80"/>
      </w:pPr>
      <w:r>
        <w:t xml:space="preserve"/>
      </w:r>
    </w:p>
    <w:p>
      <w:pPr>
        <w:spacing w:after="120"/>
      </w:pPr>
      <w:r>
        <w:rPr>
          <w:rFonts w:ascii="Arial" w:cs="Arial" w:eastAsia="Arial" w:hAnsi="Arial"/>
          <w:b/>
          <w:bCs/>
          <w:color w:val="1F2937"/>
          <w:sz w:val="22"/>
          <w:szCs w:val="22"/>
        </w:rPr>
        <w:t xml:space="preserve">7.3 Termination by Partner. </w:t>
      </w:r>
      <w:r>
        <w:rPr>
          <w:rFonts w:ascii="Arial" w:cs="Arial" w:eastAsia="Arial" w:hAnsi="Arial"/>
          <w:color w:val="374151"/>
          <w:sz w:val="22"/>
          <w:szCs w:val="22"/>
        </w:rPr>
        <w:t xml:space="preserve">Partner may terminate this Agreement at any time with 14 days' written notice. Partner remains bound by the content restrictions in Section 5 for 30 days after termination.</w:t>
      </w:r>
    </w:p>
    <w:p>
      <w:pPr>
        <w:spacing w:after="80"/>
      </w:pPr>
      <w:r>
        <w:t xml:space="preserve"/>
      </w:r>
    </w:p>
    <w:p>
      <w:pPr>
        <w:spacing w:after="120"/>
      </w:pPr>
      <w:r>
        <w:rPr>
          <w:rFonts w:ascii="Arial" w:cs="Arial" w:eastAsia="Arial" w:hAnsi="Arial"/>
          <w:b/>
          <w:bCs/>
          <w:color w:val="1F2937"/>
          <w:sz w:val="22"/>
          <w:szCs w:val="22"/>
        </w:rPr>
        <w:t xml:space="preserve">7.4 Effect of Termination. </w:t>
      </w:r>
      <w:r>
        <w:rPr>
          <w:rFonts w:ascii="Arial" w:cs="Arial" w:eastAsia="Arial" w:hAnsi="Arial"/>
          <w:color w:val="374151"/>
          <w:sz w:val="22"/>
          <w:szCs w:val="22"/>
        </w:rPr>
        <w:t xml:space="preserve">Upon termination: all tracking links are deactivated; portal access is revoked; pending payouts within the hold period are forfeited unless Company determines otherwise in writing.</w:t>
      </w:r>
    </w:p>
    <w:p>
      <w:pPr>
        <w:pStyle w:val="Heading1"/>
        <w:spacing w:after="160" w:before="360"/>
      </w:pPr>
      <w:r>
        <w:rPr>
          <w:rFonts w:ascii="Arial" w:cs="Arial" w:eastAsia="Arial" w:hAnsi="Arial"/>
          <w:b/>
          <w:bCs/>
          <w:color w:val="1F2937"/>
          <w:sz w:val="36"/>
          <w:szCs w:val="36"/>
        </w:rPr>
        <w:t xml:space="preserve">8. Confidentiality</w:t>
      </w:r>
    </w:p>
    <w:p>
      <w:pPr>
        <w:spacing w:after="120"/>
      </w:pPr>
      <w:r>
        <w:rPr>
          <w:rFonts w:ascii="Arial" w:cs="Arial" w:eastAsia="Arial" w:hAnsi="Arial"/>
          <w:b/>
          <w:bCs/>
          <w:color w:val="1F2937"/>
          <w:sz w:val="22"/>
          <w:szCs w:val="22"/>
        </w:rPr>
        <w:t xml:space="preserve">8.1 Confidential Information. </w:t>
      </w:r>
      <w:r>
        <w:rPr>
          <w:rFonts w:ascii="Arial" w:cs="Arial" w:eastAsia="Arial" w:hAnsi="Arial"/>
          <w:color w:val="374151"/>
          <w:sz w:val="22"/>
          <w:szCs w:val="22"/>
        </w:rPr>
        <w:t xml:space="preserve">Partner acknowledges that payout rates, program terms, and platform details are confidential information of the Company. Partner agrees not to disclose these terms to third parties without written consent.</w:t>
      </w:r>
    </w:p>
    <w:p>
      <w:pPr>
        <w:spacing w:after="80"/>
      </w:pPr>
      <w:r>
        <w:t xml:space="preserve"/>
      </w:r>
    </w:p>
    <w:p>
      <w:pPr>
        <w:spacing w:after="120"/>
      </w:pPr>
      <w:r>
        <w:rPr>
          <w:rFonts w:ascii="Arial" w:cs="Arial" w:eastAsia="Arial" w:hAnsi="Arial"/>
          <w:b/>
          <w:bCs/>
          <w:color w:val="1F2937"/>
          <w:sz w:val="22"/>
          <w:szCs w:val="22"/>
        </w:rPr>
        <w:t xml:space="preserve">8.2 Patient Privacy. </w:t>
      </w:r>
      <w:r>
        <w:rPr>
          <w:rFonts w:ascii="Arial" w:cs="Arial" w:eastAsia="Arial" w:hAnsi="Arial"/>
          <w:color w:val="374151"/>
          <w:sz w:val="22"/>
          <w:szCs w:val="22"/>
        </w:rPr>
        <w:t xml:space="preserve">Partner acknowledges that they will not have access to any patient information through the Platform. In the event Partner inadvertently receives any information that appears to relate to a patient, Partner agrees to notify Company immediately and to destroy such information.</w:t>
      </w:r>
    </w:p>
    <w:p>
      <w:pPr>
        <w:pStyle w:val="Heading1"/>
        <w:spacing w:after="160" w:before="360"/>
      </w:pPr>
      <w:r>
        <w:rPr>
          <w:rFonts w:ascii="Arial" w:cs="Arial" w:eastAsia="Arial" w:hAnsi="Arial"/>
          <w:b/>
          <w:bCs/>
          <w:color w:val="1F2937"/>
          <w:sz w:val="36"/>
          <w:szCs w:val="36"/>
        </w:rPr>
        <w:t xml:space="preserve">9. Representations and Warranties</w:t>
      </w:r>
    </w:p>
    <w:p>
      <w:pPr>
        <w:spacing w:after="120"/>
      </w:pPr>
      <w:r>
        <w:rPr>
          <w:rFonts w:ascii="Arial" w:cs="Arial" w:eastAsia="Arial" w:hAnsi="Arial"/>
          <w:color w:val="374151"/>
          <w:sz w:val="22"/>
          <w:szCs w:val="22"/>
        </w:rPr>
        <w:t xml:space="preserve">Partner represents and warrants that:</w:t>
      </w:r>
    </w:p>
    <w:p>
      <w:pPr>
        <w:pStyle w:val="ListParagraph"/>
        <w:numPr>
          <w:ilvl w:val="0"/>
          <w:numId w:val="2"/>
        </w:numPr>
        <w:spacing w:after="80"/>
      </w:pPr>
      <w:r>
        <w:rPr>
          <w:rFonts w:ascii="Arial" w:cs="Arial" w:eastAsia="Arial" w:hAnsi="Arial"/>
          <w:color w:val="374151"/>
          <w:sz w:val="22"/>
          <w:szCs w:val="22"/>
        </w:rPr>
        <w:t xml:space="preserve">Partner has the full legal capacity to enter into this Agreement.</w:t>
      </w:r>
    </w:p>
    <w:p>
      <w:pPr>
        <w:pStyle w:val="ListParagraph"/>
        <w:numPr>
          <w:ilvl w:val="0"/>
          <w:numId w:val="2"/>
        </w:numPr>
        <w:spacing w:after="80"/>
      </w:pPr>
      <w:r>
        <w:rPr>
          <w:rFonts w:ascii="Arial" w:cs="Arial" w:eastAsia="Arial" w:hAnsi="Arial"/>
          <w:color w:val="374151"/>
          <w:sz w:val="22"/>
          <w:szCs w:val="22"/>
        </w:rPr>
        <w:t xml:space="preserve">All content published under this Agreement will be Partner's original work or Partner will have all necessary rights to publish it.</w:t>
      </w:r>
    </w:p>
    <w:p>
      <w:pPr>
        <w:pStyle w:val="ListParagraph"/>
        <w:numPr>
          <w:ilvl w:val="0"/>
          <w:numId w:val="2"/>
        </w:numPr>
        <w:spacing w:after="80"/>
      </w:pPr>
      <w:r>
        <w:rPr>
          <w:rFonts w:ascii="Arial" w:cs="Arial" w:eastAsia="Arial" w:hAnsi="Arial"/>
          <w:color w:val="374151"/>
          <w:sz w:val="22"/>
          <w:szCs w:val="22"/>
        </w:rPr>
        <w:t xml:space="preserve">Partner's participation in this Program does not violate any existing agreement or obligation.</w:t>
      </w:r>
    </w:p>
    <w:p>
      <w:pPr>
        <w:pStyle w:val="ListParagraph"/>
        <w:numPr>
          <w:ilvl w:val="0"/>
          <w:numId w:val="2"/>
        </w:numPr>
        <w:spacing w:after="80"/>
      </w:pPr>
      <w:r>
        <w:rPr>
          <w:rFonts w:ascii="Arial" w:cs="Arial" w:eastAsia="Arial" w:hAnsi="Arial"/>
          <w:color w:val="374151"/>
          <w:sz w:val="22"/>
          <w:szCs w:val="22"/>
        </w:rPr>
        <w:t xml:space="preserve">Partner will comply with all applicable laws, including FTC regulations and platform-specific advertising policies.</w:t>
      </w:r>
    </w:p>
    <w:p>
      <w:pPr>
        <w:pStyle w:val="ListParagraph"/>
        <w:numPr>
          <w:ilvl w:val="0"/>
          <w:numId w:val="2"/>
        </w:numPr>
        <w:spacing w:after="80"/>
      </w:pPr>
      <w:r>
        <w:rPr>
          <w:rFonts w:ascii="Arial" w:cs="Arial" w:eastAsia="Arial" w:hAnsi="Arial"/>
          <w:color w:val="374151"/>
          <w:sz w:val="22"/>
          <w:szCs w:val="22"/>
        </w:rPr>
        <w:t xml:space="preserve">All information provided to Company in connection with this Agreement is accurate and complete.</w:t>
      </w:r>
    </w:p>
    <w:p>
      <w:pPr>
        <w:pStyle w:val="Heading1"/>
        <w:spacing w:after="160" w:before="360"/>
      </w:pPr>
      <w:r>
        <w:rPr>
          <w:rFonts w:ascii="Arial" w:cs="Arial" w:eastAsia="Arial" w:hAnsi="Arial"/>
          <w:b/>
          <w:bCs/>
          <w:color w:val="1F2937"/>
          <w:sz w:val="36"/>
          <w:szCs w:val="36"/>
        </w:rPr>
        <w:t xml:space="preserve">10. Limitation of Liability</w:t>
      </w:r>
    </w:p>
    <w:p>
      <w:pPr>
        <w:spacing w:after="120"/>
      </w:pPr>
      <w:r>
        <w:rPr>
          <w:rFonts w:ascii="Arial" w:cs="Arial" w:eastAsia="Arial" w:hAnsi="Arial"/>
          <w:color w:val="374151"/>
          <w:sz w:val="22"/>
          <w:szCs w:val="22"/>
        </w:rPr>
        <w:t xml:space="preserve">TO THE MAXIMUM EXTENT PERMITTED BY APPLICABLE LAW, COMPANY'S TOTAL LIABILITY TO PARTNER FOR ANY CLAIM ARISING UNDER OR RELATED TO THIS AGREEMENT SHALL NOT EXCEED THE TOTAL AMOUNT OF PAYOUTS PAID TO PARTNER IN THE THREE (3) MONTHS PRECEDING THE CLAIM. IN NO EVENT SHALL COMPANY BE LIABLE FOR INDIRECT, INCIDENTAL, SPECIAL, OR CONSEQUENTIAL DAMAGES.</w:t>
      </w:r>
    </w:p>
    <w:p>
      <w:pPr>
        <w:pStyle w:val="Heading1"/>
        <w:spacing w:after="160" w:before="360"/>
      </w:pPr>
      <w:r>
        <w:rPr>
          <w:rFonts w:ascii="Arial" w:cs="Arial" w:eastAsia="Arial" w:hAnsi="Arial"/>
          <w:b/>
          <w:bCs/>
          <w:color w:val="1F2937"/>
          <w:sz w:val="36"/>
          <w:szCs w:val="36"/>
        </w:rPr>
        <w:t xml:space="preserve">11. Governing Law and Dispute Resolution</w:t>
      </w:r>
    </w:p>
    <w:p>
      <w:pPr>
        <w:spacing w:after="120"/>
      </w:pPr>
      <w:r>
        <w:rPr>
          <w:rFonts w:ascii="Arial" w:cs="Arial" w:eastAsia="Arial" w:hAnsi="Arial"/>
          <w:color w:val="374151"/>
          <w:sz w:val="22"/>
          <w:szCs w:val="22"/>
        </w:rPr>
        <w:t xml:space="preserve">This Agreement is governed by the laws of the State of Florida without regard to its conflict of law provisions. Any dispute arising under this Agreement shall be resolved by binding arbitration in Miami, FL under the rules of the American Arbitration Association, except that either party may seek injunctive relief in any court of competent jurisdiction.</w:t>
      </w:r>
    </w:p>
    <w:p>
      <w:pPr>
        <w:pStyle w:val="Heading1"/>
        <w:spacing w:after="160" w:before="360"/>
      </w:pPr>
      <w:r>
        <w:rPr>
          <w:rFonts w:ascii="Arial" w:cs="Arial" w:eastAsia="Arial" w:hAnsi="Arial"/>
          <w:b/>
          <w:bCs/>
          <w:color w:val="1F2937"/>
          <w:sz w:val="36"/>
          <w:szCs w:val="36"/>
        </w:rPr>
        <w:t xml:space="preserve">12. Miscellaneous</w:t>
      </w:r>
    </w:p>
    <w:p>
      <w:pPr>
        <w:spacing w:after="120"/>
      </w:pPr>
      <w:r>
        <w:rPr>
          <w:rFonts w:ascii="Arial" w:cs="Arial" w:eastAsia="Arial" w:hAnsi="Arial"/>
          <w:b/>
          <w:bCs/>
          <w:color w:val="1F2937"/>
          <w:sz w:val="22"/>
          <w:szCs w:val="22"/>
        </w:rPr>
        <w:t xml:space="preserve">12.1 Entire Agreement. </w:t>
      </w:r>
      <w:r>
        <w:rPr>
          <w:rFonts w:ascii="Arial" w:cs="Arial" w:eastAsia="Arial" w:hAnsi="Arial"/>
          <w:color w:val="374151"/>
          <w:sz w:val="22"/>
          <w:szCs w:val="22"/>
        </w:rPr>
        <w:t xml:space="preserve">This Agreement constitutes the entire agreement between the parties regarding the subject matter herein and supersedes all prior understandings.</w:t>
      </w:r>
    </w:p>
    <w:p>
      <w:pPr>
        <w:spacing w:after="80"/>
      </w:pPr>
      <w:r>
        <w:t xml:space="preserve"/>
      </w:r>
    </w:p>
    <w:p>
      <w:pPr>
        <w:spacing w:after="120"/>
      </w:pPr>
      <w:r>
        <w:rPr>
          <w:rFonts w:ascii="Arial" w:cs="Arial" w:eastAsia="Arial" w:hAnsi="Arial"/>
          <w:b/>
          <w:bCs/>
          <w:color w:val="1F2937"/>
          <w:sz w:val="22"/>
          <w:szCs w:val="22"/>
        </w:rPr>
        <w:t xml:space="preserve">12.2 Amendments. </w:t>
      </w:r>
      <w:r>
        <w:rPr>
          <w:rFonts w:ascii="Arial" w:cs="Arial" w:eastAsia="Arial" w:hAnsi="Arial"/>
          <w:color w:val="374151"/>
          <w:sz w:val="22"/>
          <w:szCs w:val="22"/>
        </w:rPr>
        <w:t xml:space="preserve">Company may update these Terms at any time with 14 days' notice to Partner. Continued participation after notice constitutes acceptance.</w:t>
      </w:r>
    </w:p>
    <w:p>
      <w:pPr>
        <w:spacing w:after="80"/>
      </w:pPr>
      <w:r>
        <w:t xml:space="preserve"/>
      </w:r>
    </w:p>
    <w:p>
      <w:pPr>
        <w:spacing w:after="120"/>
      </w:pPr>
      <w:r>
        <w:rPr>
          <w:rFonts w:ascii="Arial" w:cs="Arial" w:eastAsia="Arial" w:hAnsi="Arial"/>
          <w:b/>
          <w:bCs/>
          <w:color w:val="1F2937"/>
          <w:sz w:val="22"/>
          <w:szCs w:val="22"/>
        </w:rPr>
        <w:t xml:space="preserve">12.3 Severability. </w:t>
      </w:r>
      <w:r>
        <w:rPr>
          <w:rFonts w:ascii="Arial" w:cs="Arial" w:eastAsia="Arial" w:hAnsi="Arial"/>
          <w:color w:val="374151"/>
          <w:sz w:val="22"/>
          <w:szCs w:val="22"/>
        </w:rPr>
        <w:t xml:space="preserve">If any provision of this Agreement is held unenforceable, the remaining provisions remain in full force.</w:t>
      </w:r>
    </w:p>
    <w:p>
      <w:pPr>
        <w:spacing w:after="80"/>
      </w:pPr>
      <w:r>
        <w:t xml:space="preserve"/>
      </w:r>
    </w:p>
    <w:p>
      <w:pPr>
        <w:spacing w:after="120"/>
      </w:pPr>
      <w:r>
        <w:rPr>
          <w:rFonts w:ascii="Arial" w:cs="Arial" w:eastAsia="Arial" w:hAnsi="Arial"/>
          <w:b/>
          <w:bCs/>
          <w:color w:val="1F2937"/>
          <w:sz w:val="22"/>
          <w:szCs w:val="22"/>
        </w:rPr>
        <w:t xml:space="preserve">12.4 Independent Contractor. </w:t>
      </w:r>
      <w:r>
        <w:rPr>
          <w:rFonts w:ascii="Arial" w:cs="Arial" w:eastAsia="Arial" w:hAnsi="Arial"/>
          <w:color w:val="374151"/>
          <w:sz w:val="22"/>
          <w:szCs w:val="22"/>
        </w:rPr>
        <w:t xml:space="preserve">Partner is an independent contractor. Nothing in this Agreement creates an employment, partnership, joint venture, or agency relationship.</w:t>
      </w:r>
    </w:p>
    <w:p>
      <w:r>
        <w:br w:type="page"/>
      </w:r>
    </w:p>
    <w:p>
      <w:pPr>
        <w:pStyle w:val="Heading1"/>
        <w:spacing w:after="160" w:before="360"/>
      </w:pPr>
      <w:r>
        <w:rPr>
          <w:rFonts w:ascii="Arial" w:cs="Arial" w:eastAsia="Arial" w:hAnsi="Arial"/>
          <w:b/>
          <w:bCs/>
          <w:color w:val="1F2937"/>
          <w:sz w:val="36"/>
          <w:szCs w:val="36"/>
        </w:rPr>
        <w:t xml:space="preserve">Signature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Agreement date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Clinic name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Miami Life Plastic Surgery</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Partner name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Partner social handle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Platform</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Payout rate at signing</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_______ per completed evaluation</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Hold period</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______ days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Monthly cap (if any)</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_______ (or "None")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60"/>
            </w:pPr>
            <w:r>
              <w:rPr>
                <w:rFonts w:ascii="Arial" w:cs="Arial" w:eastAsia="Arial" w:hAnsi="Arial"/>
                <w:color w:val="1F2937"/>
                <w:sz w:val="22"/>
                <w:szCs w:val="22"/>
              </w:rPr>
              <w:t xml:space="preserve">____________________________________________________</w:t>
            </w:r>
          </w:p>
          <w:p>
            <w:pPr>
              <w:spacing w:after="40"/>
            </w:pPr>
            <w:r>
              <w:rPr>
                <w:rFonts w:ascii="Arial" w:cs="Arial" w:eastAsia="Arial" w:hAnsi="Arial"/>
                <w:b/>
                <w:bCs/>
                <w:color w:val="1F2937"/>
                <w:sz w:val="22"/>
                <w:szCs w:val="22"/>
              </w:rPr>
              <w:t xml:space="preserve">Authorized Signatory — Miami Life Plastic Surgery</w:t>
            </w:r>
          </w:p>
          <w:p>
            <w:pPr>
              <w:spacing w:after="40"/>
            </w:pPr>
            <w:r>
              <w:rPr>
                <w:rFonts w:ascii="Arial" w:cs="Arial" w:eastAsia="Arial" w:hAnsi="Arial"/>
                <w:color w:val="374151"/>
                <w:sz w:val="22"/>
                <w:szCs w:val="22"/>
              </w:rPr>
              <w:t xml:space="preserve">Name: ___________________________</w:t>
            </w:r>
          </w:p>
          <w:p>
            <w:pPr>
              <w:spacing w:after="40"/>
            </w:pPr>
            <w:r>
              <w:rPr>
                <w:rFonts w:ascii="Arial" w:cs="Arial" w:eastAsia="Arial" w:hAnsi="Arial"/>
                <w:color w:val="374151"/>
                <w:sz w:val="22"/>
                <w:szCs w:val="22"/>
              </w:rPr>
              <w:t xml:space="preserve">Title: ___________________________</w:t>
            </w:r>
          </w:p>
          <w:p>
            <w:pPr>
              <w:spacing w:after="0"/>
            </w:pPr>
            <w:r>
              <w:rPr>
                <w:rFonts w:ascii="Arial" w:cs="Arial" w:eastAsia="Arial" w:hAnsi="Arial"/>
                <w:color w:val="374151"/>
                <w:sz w:val="22"/>
                <w:szCs w:val="22"/>
              </w:rPr>
              <w:t xml:space="preserve">Date:  ___________________________</w:t>
            </w:r>
          </w:p>
        </w:tc>
        <w:tc>
          <w:tcPr>
            <w:tcW w:type="dxa" w:w="560"/>
            <w:tcBorders>
              <w:top w:val="none" w:color="FFFFFF" w:sz="0"/>
              <w:left w:val="none" w:color="FFFFFF" w:sz="0"/>
              <w:bottom w:val="none" w:color="FFFFFF" w:sz="0"/>
              <w:right w:val="none" w:color="FFFFFF" w:sz="0"/>
            </w:tcBorders>
          </w:tcPr>
          <w:p>
            <w:pPr>
              <w:spacing w:after="120"/>
            </w:pPr>
            <w:r>
              <w:rPr>
                <w:rFonts w:ascii="Arial" w:cs="Arial" w:eastAsia="Arial" w:hAnsi="Arial"/>
                <w:color w:val="374151"/>
                <w:sz w:val="22"/>
                <w:szCs w:val="22"/>
              </w:rPr>
              <w:t xml:space="preserve"/>
            </w:r>
          </w:p>
        </w:tc>
        <w:tc>
          <w:tcPr>
            <w:tcW w:type="dxa" w:w="4400"/>
            <w:tcBorders>
              <w:top w:val="none" w:color="FFFFFF" w:sz="0"/>
              <w:left w:val="none" w:color="FFFFFF" w:sz="0"/>
              <w:bottom w:val="none" w:color="FFFFFF" w:sz="0"/>
              <w:right w:val="none" w:color="FFFFFF" w:sz="0"/>
            </w:tcBorders>
          </w:tcPr>
          <w:p>
            <w:pPr>
              <w:spacing w:after="60"/>
            </w:pPr>
            <w:r>
              <w:rPr>
                <w:rFonts w:ascii="Arial" w:cs="Arial" w:eastAsia="Arial" w:hAnsi="Arial"/>
                <w:color w:val="1F2937"/>
                <w:sz w:val="22"/>
                <w:szCs w:val="22"/>
              </w:rPr>
              <w:t xml:space="preserve">____________________________________________________</w:t>
            </w:r>
          </w:p>
          <w:p>
            <w:pPr>
              <w:spacing w:after="40"/>
            </w:pPr>
            <w:r>
              <w:rPr>
                <w:rFonts w:ascii="Arial" w:cs="Arial" w:eastAsia="Arial" w:hAnsi="Arial"/>
                <w:b/>
                <w:bCs/>
                <w:color w:val="1F2937"/>
                <w:sz w:val="22"/>
                <w:szCs w:val="22"/>
              </w:rPr>
              <w:t xml:space="preserve">Affiliate Partner</w:t>
            </w:r>
          </w:p>
          <w:p>
            <w:pPr>
              <w:spacing w:after="40"/>
            </w:pPr>
            <w:r>
              <w:rPr>
                <w:rFonts w:ascii="Arial" w:cs="Arial" w:eastAsia="Arial" w:hAnsi="Arial"/>
                <w:color w:val="374151"/>
                <w:sz w:val="22"/>
                <w:szCs w:val="22"/>
              </w:rPr>
              <w:t xml:space="preserve">Name: ___________________________</w:t>
            </w:r>
          </w:p>
          <w:p>
            <w:pPr>
              <w:spacing w:after="40"/>
            </w:pPr>
            <w:r>
              <w:rPr>
                <w:rFonts w:ascii="Arial" w:cs="Arial" w:eastAsia="Arial" w:hAnsi="Arial"/>
                <w:color w:val="374151"/>
                <w:sz w:val="22"/>
                <w:szCs w:val="22"/>
              </w:rPr>
              <w:t xml:space="preserve">Handle: __________________________</w:t>
            </w:r>
          </w:p>
          <w:p>
            <w:pPr>
              <w:spacing w:after="0"/>
            </w:pPr>
            <w:r>
              <w:rPr>
                <w:rFonts w:ascii="Arial" w:cs="Arial" w:eastAsia="Arial" w:hAnsi="Arial"/>
                <w:color w:val="374151"/>
                <w:sz w:val="22"/>
                <w:szCs w:val="22"/>
              </w:rPr>
              <w:t xml:space="preserve">Date:   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0"/>
    </w:pPr>
    <w:r>
      <w:rPr>
        <w:rFonts w:ascii="Arial" w:cs="Arial" w:eastAsia="Arial" w:hAnsi="Arial"/>
        <w:color w:val="6B7280"/>
        <w:sz w:val="16"/>
        <w:szCs w:val="16"/>
      </w:rPr>
      <w:t xml:space="preserve">Miami Life Plastic Surgery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after="0"/>
    </w:pPr>
    <w:r>
      <w:rPr>
        <w:rFonts w:ascii="Arial" w:cs="Arial" w:eastAsia="Arial" w:hAnsi="Arial"/>
        <w:b/>
        <w:bCs/>
        <w:color w:val="0E9E8E"/>
        <w:sz w:val="18"/>
        <w:szCs w:val="18"/>
      </w:rPr>
      <w:t xml:space="preserve">Miami Life Plastic Surgery  </w:t>
    </w:r>
    <w:r>
      <w:rPr>
        <w:rFonts w:ascii="Arial" w:cs="Arial" w:eastAsia="Arial" w:hAnsi="Arial"/>
        <w:color w:val="6B7280"/>
        <w:sz w:val="18"/>
        <w:szCs w:val="18"/>
      </w:rPr>
      <w:t xml:space="preserve">—  Affiliate Terms of Service</w:t>
    </w:r>
    <w:r>
      <w:rPr>
        <w:rFonts w:ascii="Arial" w:cs="Arial" w:eastAsia="Arial" w:hAnsi="Arial"/>
        <w:sz w:val="18"/>
        <w:szCs w:val="18"/>
      </w:rPr>
      <w:t xml:space="preserve">	</w:t>
    </w:r>
    <w:r>
      <w:rPr>
        <w:rFonts w:ascii="Arial" w:cs="Arial" w:eastAsia="Arial" w:hAnsi="Arial"/>
        <w:b/>
        <w:bCs/>
        <w:color w:val="92400E"/>
        <w:sz w:val="18"/>
        <w:szCs w:val="18"/>
      </w:rPr>
      <w:t xml:space="preserve">DRAFT — Attorney Review Required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7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2026-04-19T05:07:27.797Z</dcterms:created>
  <dcterms:modified xsi:type="dcterms:W3CDTF">2026-04-19T05:07:27.797Z</dcterms:modified>
</cp:coreProperties>
</file>

<file path=docProps/custom.xml><?xml version="1.0" encoding="utf-8"?>
<Properties xmlns="http://schemas.openxmlformats.org/officeDocument/2006/custom-properties" xmlns:vt="http://schemas.openxmlformats.org/officeDocument/2006/docPropsVTypes"/>
</file>