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E9E8E"/>
          <w:sz w:val="48"/>
          <w:szCs w:val="48"/>
        </w:rPr>
        <w:t xml:space="preserve">Miami Life Plastic Surgery</w:t>
      </w:r>
    </w:p>
    <w:p>
      <w:pPr>
        <w:spacing w:after="80"/>
      </w:pPr>
      <w:r>
        <w:rPr>
          <w:rFonts w:ascii="Arial" w:cs="Arial" w:eastAsia="Arial" w:hAnsi="Arial"/>
          <w:b/>
          <w:bCs/>
          <w:color w:val="1F2937"/>
          <w:sz w:val="36"/>
          <w:szCs w:val="36"/>
        </w:rPr>
        <w:t xml:space="preserve">Internal HIPAA Compliance Note</w:t>
      </w:r>
    </w:p>
    <w:p>
      <w:pPr>
        <w:spacing w:after="240"/>
      </w:pPr>
      <w:r>
        <w:rPr>
          <w:rFonts w:ascii="Arial" w:cs="Arial" w:eastAsia="Arial" w:hAnsi="Arial"/>
          <w:color w:val="6B7280"/>
          <w:sz w:val="26"/>
          <w:szCs w:val="26"/>
        </w:rPr>
        <w:t xml:space="preserve">Affiliate Program — PHI Handling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after="60"/>
            </w:pPr>
            <w:r>
              <w:rPr>
                <w:rFonts w:ascii="Arial" w:cs="Arial" w:eastAsia="Arial" w:hAnsi="Arial"/>
                <w:b/>
                <w:bCs/>
                <w:color w:val="92400E"/>
                <w:sz w:val="22"/>
                <w:szCs w:val="22"/>
              </w:rPr>
              <w:t xml:space="preserve">DRAFT DOCUMENT — FOR ATTORNEY REVIEW</w:t>
            </w:r>
          </w:p>
          <w:p>
            <w:pPr>
              <w:spacing w:after="0"/>
            </w:pPr>
            <w:r>
              <w:rPr>
                <w:rFonts w:ascii="Arial" w:cs="Arial" w:eastAsia="Arial" w:hAnsi="Arial"/>
                <w:color w:val="92400E"/>
                <w:sz w:val="22"/>
                <w:szCs w:val="22"/>
              </w:rPr>
              <w:t xml:space="preserve">This document is an internal compliance record. It has not been reviewed by legal counsel. Before activating the affiliate program for live patient traffic, this note should be reviewed and signed off by a qualified healthcare attorney.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Prepared by</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Operations / Compliance</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Document date</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April 2026</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Platform</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SymetriHealth</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Clinic</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Miami Life Plastic Surgery, Miami, FL</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Version</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1.0 — Initial draft</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Status</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DRAFT — Pending attorney sign-off</w:t>
            </w:r>
          </w:p>
        </w:tc>
      </w:tr>
    </w:tbl>
    <w:p>
      <w:r>
        <w:br w:type="page"/>
      </w:r>
    </w:p>
    <w:p>
      <w:pPr>
        <w:pStyle w:val="Heading1"/>
        <w:spacing w:after="160" w:before="360"/>
      </w:pPr>
      <w:r>
        <w:rPr>
          <w:rFonts w:ascii="Arial" w:cs="Arial" w:eastAsia="Arial" w:hAnsi="Arial"/>
          <w:b/>
          <w:bCs/>
          <w:color w:val="1F2937"/>
          <w:sz w:val="36"/>
          <w:szCs w:val="36"/>
        </w:rPr>
        <w:t xml:space="preserve">1. Purpose</w:t>
      </w:r>
    </w:p>
    <w:p>
      <w:pPr>
        <w:spacing w:after="120"/>
      </w:pPr>
      <w:r>
        <w:rPr>
          <w:rFonts w:ascii="Arial" w:cs="Arial" w:eastAsia="Arial" w:hAnsi="Arial"/>
          <w:color w:val="374151"/>
          <w:sz w:val="22"/>
          <w:szCs w:val="22"/>
        </w:rPr>
        <w:t xml:space="preserve">This document records the internal analysis of how the Miami Life Plastic Surgery affiliate program interacts with Protected Health Information (PHI) as defined under HIPAA (45 CFR Parts 160 and 164). Its purpose is to document due diligence and provide evidence of proactive compliance review.</w:t>
      </w:r>
    </w:p>
    <w:p>
      <w:pPr>
        <w:spacing w:after="80"/>
      </w:pPr>
      <w:r>
        <w:t xml:space="preserve"/>
      </w:r>
    </w:p>
    <w:p>
      <w:pPr>
        <w:spacing w:after="120"/>
      </w:pPr>
      <w:r>
        <w:rPr>
          <w:rFonts w:ascii="Arial" w:cs="Arial" w:eastAsia="Arial" w:hAnsi="Arial"/>
          <w:color w:val="374151"/>
          <w:sz w:val="22"/>
          <w:szCs w:val="22"/>
        </w:rPr>
        <w:t xml:space="preserve">This note should be retained in the clinic's HIPAA compliance file and updated whenever the affiliate program architecture changes.</w:t>
      </w:r>
    </w:p>
    <w:p>
      <w:pPr>
        <w:pStyle w:val="Heading1"/>
        <w:spacing w:after="160" w:before="360"/>
      </w:pPr>
      <w:r>
        <w:rPr>
          <w:rFonts w:ascii="Arial" w:cs="Arial" w:eastAsia="Arial" w:hAnsi="Arial"/>
          <w:b/>
          <w:bCs/>
          <w:color w:val="1F2937"/>
          <w:sz w:val="36"/>
          <w:szCs w:val="36"/>
        </w:rPr>
        <w:t xml:space="preserve">2. Affiliate Program Architecture Summary</w:t>
      </w:r>
    </w:p>
    <w:p>
      <w:pPr>
        <w:spacing w:after="120"/>
      </w:pPr>
      <w:r>
        <w:rPr>
          <w:rFonts w:ascii="Arial" w:cs="Arial" w:eastAsia="Arial" w:hAnsi="Arial"/>
          <w:color w:val="374151"/>
          <w:sz w:val="22"/>
          <w:szCs w:val="22"/>
        </w:rPr>
        <w:t xml:space="preserve">The affiliate program is operated through the SymetriHealth platform. The relevant technical components are:</w:t>
      </w:r>
    </w:p>
    <w:p>
      <w:pPr>
        <w:spacing w:after="80"/>
      </w:pPr>
      <w:r>
        <w:t xml:space="preserve"/>
      </w:r>
    </w:p>
    <w:p>
      <w:pPr>
        <w:pStyle w:val="ListParagraph"/>
        <w:numPr>
          <w:ilvl w:val="0"/>
          <w:numId w:val="2"/>
        </w:numPr>
        <w:spacing w:after="80"/>
      </w:pPr>
      <w:r>
        <w:rPr>
          <w:rFonts w:ascii="Arial" w:cs="Arial" w:eastAsia="Arial" w:hAnsi="Arial"/>
          <w:b/>
          <w:bCs/>
          <w:color w:val="1F2937"/>
          <w:sz w:val="22"/>
          <w:szCs w:val="22"/>
        </w:rPr>
        <w:t xml:space="preserve">Tracking links: </w:t>
      </w:r>
      <w:r>
        <w:rPr>
          <w:rFonts w:ascii="Arial" w:cs="Arial" w:eastAsia="Arial" w:hAnsi="Arial"/>
          <w:color w:val="374151"/>
          <w:sz w:val="22"/>
          <w:szCs w:val="22"/>
        </w:rPr>
        <w:t xml:space="preserve">Each affiliate partner receives a unique URL containing an anonymous token (e.g. /intake/a/{token}). The token is a randomly generated 40-character string. It does not encode, contain, or derive from any patient identifier.</w:t>
      </w:r>
    </w:p>
    <w:p>
      <w:pPr>
        <w:pStyle w:val="ListParagraph"/>
        <w:numPr>
          <w:ilvl w:val="0"/>
          <w:numId w:val="2"/>
        </w:numPr>
        <w:spacing w:after="80"/>
      </w:pPr>
      <w:r>
        <w:rPr>
          <w:rFonts w:ascii="Arial" w:cs="Arial" w:eastAsia="Arial" w:hAnsi="Arial"/>
          <w:b/>
          <w:bCs/>
          <w:color w:val="1F2937"/>
          <w:sz w:val="22"/>
          <w:szCs w:val="22"/>
        </w:rPr>
        <w:t xml:space="preserve">Short codes: </w:t>
      </w:r>
      <w:r>
        <w:rPr>
          <w:rFonts w:ascii="Arial" w:cs="Arial" w:eastAsia="Arial" w:hAnsi="Arial"/>
          <w:color w:val="374151"/>
          <w:sz w:val="22"/>
          <w:szCs w:val="22"/>
        </w:rPr>
        <w:t xml:space="preserve">An 8-character short code (/intake/s/{code}) is also generated. Same properties as the full token — no PHI.</w:t>
      </w:r>
    </w:p>
    <w:p>
      <w:pPr>
        <w:pStyle w:val="ListParagraph"/>
        <w:numPr>
          <w:ilvl w:val="0"/>
          <w:numId w:val="2"/>
        </w:numPr>
        <w:spacing w:after="80"/>
      </w:pPr>
      <w:r>
        <w:rPr>
          <w:rFonts w:ascii="Arial" w:cs="Arial" w:eastAsia="Arial" w:hAnsi="Arial"/>
          <w:b/>
          <w:bCs/>
          <w:color w:val="1F2937"/>
          <w:sz w:val="22"/>
          <w:szCs w:val="22"/>
        </w:rPr>
        <w:t xml:space="preserve">Attribution events: </w:t>
      </w:r>
      <w:r>
        <w:rPr>
          <w:rFonts w:ascii="Arial" w:cs="Arial" w:eastAsia="Arial" w:hAnsi="Arial"/>
          <w:color w:val="374151"/>
          <w:sz w:val="22"/>
          <w:szCs w:val="22"/>
        </w:rPr>
        <w:t xml:space="preserve">When a visitor clicks a link, the system records: the token, a hashed IP address (HMAC-SHA256), a hashed user-agent string, and a timestamp. No name, email, phone number, date of birth, or other direct identifier is recorded at click time.</w:t>
      </w:r>
    </w:p>
    <w:p>
      <w:pPr>
        <w:pStyle w:val="ListParagraph"/>
        <w:numPr>
          <w:ilvl w:val="0"/>
          <w:numId w:val="2"/>
        </w:numPr>
        <w:spacing w:after="80"/>
      </w:pPr>
      <w:r>
        <w:rPr>
          <w:rFonts w:ascii="Arial" w:cs="Arial" w:eastAsia="Arial" w:hAnsi="Arial"/>
          <w:b/>
          <w:bCs/>
          <w:color w:val="1F2937"/>
          <w:sz w:val="22"/>
          <w:szCs w:val="22"/>
        </w:rPr>
        <w:t xml:space="preserve">Intake connection: </w:t>
      </w:r>
      <w:r>
        <w:rPr>
          <w:rFonts w:ascii="Arial" w:cs="Arial" w:eastAsia="Arial" w:hAnsi="Arial"/>
          <w:color w:val="374151"/>
          <w:sz w:val="22"/>
          <w:szCs w:val="22"/>
        </w:rPr>
        <w:t xml:space="preserve">When a visitor begins the evaluation, the affiliate token is passed as a URL query parameter (?aff={token}) and stored in the evaluation record. The evaluation record contains PHI (name, email, photos), but the token itself is not PHI.</w:t>
      </w:r>
    </w:p>
    <w:p>
      <w:pPr>
        <w:pStyle w:val="ListParagraph"/>
        <w:numPr>
          <w:ilvl w:val="0"/>
          <w:numId w:val="2"/>
        </w:numPr>
        <w:spacing w:after="80"/>
      </w:pPr>
      <w:r>
        <w:rPr>
          <w:rFonts w:ascii="Arial" w:cs="Arial" w:eastAsia="Arial" w:hAnsi="Arial"/>
          <w:b/>
          <w:bCs/>
          <w:color w:val="1F2937"/>
          <w:sz w:val="22"/>
          <w:szCs w:val="22"/>
        </w:rPr>
        <w:t xml:space="preserve">Payout ledger: </w:t>
      </w:r>
      <w:r>
        <w:rPr>
          <w:rFonts w:ascii="Arial" w:cs="Arial" w:eastAsia="Arial" w:hAnsi="Arial"/>
          <w:color w:val="374151"/>
          <w:sz w:val="22"/>
          <w:szCs w:val="22"/>
        </w:rPr>
        <w:t xml:space="preserve">When an evaluation is completed, a payout entry is created. This entry contains: the payout amount, the affiliate partner ID, and a reference to the evaluation ID (an internal UUID). The evaluation ID is not disclosed to the partner.</w:t>
      </w:r>
    </w:p>
    <w:p>
      <w:pPr>
        <w:pStyle w:val="ListParagraph"/>
        <w:numPr>
          <w:ilvl w:val="0"/>
          <w:numId w:val="2"/>
        </w:numPr>
        <w:spacing w:after="80"/>
      </w:pPr>
      <w:r>
        <w:rPr>
          <w:rFonts w:ascii="Arial" w:cs="Arial" w:eastAsia="Arial" w:hAnsi="Arial"/>
          <w:b/>
          <w:bCs/>
          <w:color w:val="1F2937"/>
          <w:sz w:val="22"/>
          <w:szCs w:val="22"/>
        </w:rPr>
        <w:t xml:space="preserve">Partner portal: </w:t>
      </w:r>
      <w:r>
        <w:rPr>
          <w:rFonts w:ascii="Arial" w:cs="Arial" w:eastAsia="Arial" w:hAnsi="Arial"/>
          <w:color w:val="374151"/>
          <w:sz w:val="22"/>
          <w:szCs w:val="22"/>
        </w:rPr>
        <w:t xml:space="preserve">Affiliate partners can view: their own click/conversion counts, payout status, and campaign assets. Partners cannot access patient names, emails, photos, quiz answers, AI analysis results, or any other PHI.</w:t>
      </w:r>
    </w:p>
    <w:p>
      <w:pPr>
        <w:spacing w:after="120"/>
      </w:pPr>
      <w:r>
        <w:t xml:space="preserve"/>
      </w:r>
    </w:p>
    <w:p>
      <w:pPr>
        <w:pStyle w:val="Heading1"/>
        <w:spacing w:after="160" w:before="360"/>
      </w:pPr>
      <w:r>
        <w:rPr>
          <w:rFonts w:ascii="Arial" w:cs="Arial" w:eastAsia="Arial" w:hAnsi="Arial"/>
          <w:b/>
          <w:bCs/>
          <w:color w:val="1F2937"/>
          <w:sz w:val="36"/>
          <w:szCs w:val="36"/>
        </w:rPr>
        <w:t xml:space="preserve">3. PHI Exposure Assessment</w:t>
      </w:r>
    </w:p>
    <w:p>
      <w:pPr>
        <w:pStyle w:val="Heading2"/>
        <w:spacing w:after="100" w:before="280"/>
      </w:pPr>
      <w:r>
        <w:rPr>
          <w:rFonts w:ascii="Arial" w:cs="Arial" w:eastAsia="Arial" w:hAnsi="Arial"/>
          <w:b/>
          <w:bCs/>
          <w:color w:val="0B7A6E"/>
          <w:sz w:val="26"/>
          <w:szCs w:val="26"/>
        </w:rPr>
        <w:t xml:space="preserve">3.1 What Partners Can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Borders>
              <w:top w:val="single" w:color="E5E7EB" w:sz="1"/>
              <w:left w:val="single" w:color="E5E7EB" w:sz="1"/>
              <w:bottom w:val="single" w:color="E5E7EB" w:sz="1"/>
              <w:right w:val="single" w:color="E5E7EB" w:sz="1"/>
            </w:tcBorders>
            <w:shd w:fill="0E9E8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Element</w:t>
            </w:r>
          </w:p>
        </w:tc>
        <w:tc>
          <w:tcPr>
            <w:tcBorders>
              <w:top w:val="single" w:color="E5E7EB" w:sz="1"/>
              <w:left w:val="single" w:color="E5E7EB" w:sz="1"/>
              <w:bottom w:val="single" w:color="E5E7EB" w:sz="1"/>
              <w:right w:val="single" w:color="E5E7EB" w:sz="1"/>
            </w:tcBorders>
            <w:shd w:fill="0E9E8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Visible to Partner?</w:t>
            </w:r>
          </w:p>
        </w:tc>
        <w:tc>
          <w:tcPr>
            <w:tcBorders>
              <w:top w:val="single" w:color="E5E7EB" w:sz="1"/>
              <w:left w:val="single" w:color="E5E7EB" w:sz="1"/>
              <w:bottom w:val="single" w:color="E5E7EB" w:sz="1"/>
              <w:right w:val="single" w:color="E5E7EB" w:sz="1"/>
            </w:tcBorders>
            <w:shd w:fill="0E9E8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color w:val="374151"/>
                <w:sz w:val="22"/>
                <w:szCs w:val="22"/>
              </w:rPr>
              <w:t xml:space="preserve">Patient name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bCs/>
                <w:color w:val="166534"/>
                <w:sz w:val="22"/>
                <w:szCs w:val="22"/>
              </w:rPr>
              <w:t xml:space="preserve">No</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color w:val="6B7280"/>
                <w:sz w:val="18"/>
                <w:szCs w:val="18"/>
              </w:rPr>
              <w:t xml:space="preserve">Not stored in or derivable from any partner-accessible record</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color w:val="374151"/>
                <w:sz w:val="22"/>
                <w:szCs w:val="22"/>
              </w:rPr>
              <w:t xml:space="preserve">Patient email</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bCs/>
                <w:color w:val="166534"/>
                <w:sz w:val="22"/>
                <w:szCs w:val="22"/>
              </w:rPr>
              <w:t xml:space="preserve">No</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color w:val="6B7280"/>
                <w:sz w:val="18"/>
                <w:szCs w:val="18"/>
              </w:rPr>
              <w:t xml:space="preserve">Encrypted in DB; not included in tracking tokens or portal</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color w:val="374151"/>
                <w:sz w:val="22"/>
                <w:szCs w:val="22"/>
              </w:rPr>
              <w:t xml:space="preserve">Patient phone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bCs/>
                <w:color w:val="166534"/>
                <w:sz w:val="22"/>
                <w:szCs w:val="22"/>
              </w:rPr>
              <w:t xml:space="preserve">No</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color w:val="6B7280"/>
                <w:sz w:val="18"/>
                <w:szCs w:val="18"/>
              </w:rPr>
              <w:t xml:space="preserve">Same as above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color w:val="374151"/>
                <w:sz w:val="22"/>
                <w:szCs w:val="22"/>
              </w:rPr>
              <w:t xml:space="preserve">Date of birth</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bCs/>
                <w:color w:val="166534"/>
                <w:sz w:val="22"/>
                <w:szCs w:val="22"/>
              </w:rPr>
              <w:t xml:space="preserve">No</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color w:val="6B7280"/>
                <w:sz w:val="18"/>
                <w:szCs w:val="18"/>
              </w:rPr>
              <w:t xml:space="preserve">Same as above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color w:val="374151"/>
                <w:sz w:val="22"/>
                <w:szCs w:val="22"/>
              </w:rPr>
              <w:t xml:space="preserve">Patient photos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bCs/>
                <w:color w:val="166534"/>
                <w:sz w:val="22"/>
                <w:szCs w:val="22"/>
              </w:rPr>
              <w:t xml:space="preserve">No</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color w:val="6B7280"/>
                <w:sz w:val="18"/>
                <w:szCs w:val="18"/>
              </w:rPr>
              <w:t xml:space="preserve">Stored in private S3; partners have no access path</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color w:val="374151"/>
                <w:sz w:val="22"/>
                <w:szCs w:val="22"/>
              </w:rPr>
              <w:t xml:space="preserve">Quiz answers / medical history</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bCs/>
                <w:color w:val="166534"/>
                <w:sz w:val="22"/>
                <w:szCs w:val="22"/>
              </w:rPr>
              <w:t xml:space="preserve">No</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color w:val="6B7280"/>
                <w:sz w:val="18"/>
                <w:szCs w:val="18"/>
              </w:rPr>
              <w:t xml:space="preserve">Clinic-only access; not surfaced to partners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color w:val="374151"/>
                <w:sz w:val="22"/>
                <w:szCs w:val="22"/>
              </w:rPr>
              <w:t xml:space="preserve">AI analysis results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bCs/>
                <w:color w:val="166534"/>
                <w:sz w:val="22"/>
                <w:szCs w:val="22"/>
              </w:rPr>
              <w:t xml:space="preserve">No</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color w:val="6B7280"/>
                <w:sz w:val="18"/>
                <w:szCs w:val="18"/>
              </w:rPr>
              <w:t xml:space="preserve">Clinic-only access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color w:val="374151"/>
                <w:sz w:val="22"/>
                <w:szCs w:val="22"/>
              </w:rPr>
              <w:t xml:space="preserve">Evaluation ID (internal UUID)</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bCs/>
                <w:color w:val="166534"/>
                <w:sz w:val="22"/>
                <w:szCs w:val="22"/>
              </w:rPr>
              <w:t xml:space="preserve">No</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color w:val="6B7280"/>
                <w:sz w:val="18"/>
                <w:szCs w:val="18"/>
              </w:rPr>
              <w:t xml:space="preserve">Internal reference only; not exposed in portal or API</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color w:val="374151"/>
                <w:sz w:val="22"/>
                <w:szCs w:val="22"/>
              </w:rPr>
              <w:t xml:space="preserve">Click count (aggregate)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22"/>
                <w:szCs w:val="22"/>
              </w:rPr>
              <w:t xml:space="preserve">Yes</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color w:val="6B7280"/>
                <w:sz w:val="18"/>
                <w:szCs w:val="18"/>
              </w:rPr>
              <w:t xml:space="preserve">Count only — no individual visitor data</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color w:val="374151"/>
                <w:sz w:val="22"/>
                <w:szCs w:val="22"/>
              </w:rPr>
              <w:t xml:space="preserve">Conversion count (aggregate)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374151"/>
                <w:sz w:val="22"/>
                <w:szCs w:val="22"/>
              </w:rPr>
              <w:t xml:space="preserve">Yes</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color w:val="6B7280"/>
                <w:sz w:val="18"/>
                <w:szCs w:val="18"/>
              </w:rPr>
              <w:t xml:space="preserve">Count only — no individual patient data</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color w:val="374151"/>
                <w:sz w:val="22"/>
                <w:szCs w:val="22"/>
              </w:rPr>
              <w:t xml:space="preserve">Payout amount + status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22"/>
                <w:szCs w:val="22"/>
              </w:rPr>
              <w:t xml:space="preserve">Yes</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color w:val="6B7280"/>
                <w:sz w:val="18"/>
                <w:szCs w:val="18"/>
              </w:rPr>
              <w:t xml:space="preserve">Their own payouts only; no patient linkage visible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color w:val="374151"/>
                <w:sz w:val="22"/>
                <w:szCs w:val="22"/>
              </w:rPr>
              <w:t xml:space="preserve">Campaign assets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b w:val="false"/>
                <w:bCs w:val="false"/>
                <w:color w:val="374151"/>
                <w:sz w:val="22"/>
                <w:szCs w:val="22"/>
              </w:rPr>
              <w:t xml:space="preserve">Yes</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pPr>
            <w:r>
              <w:rPr>
                <w:rFonts w:ascii="Arial" w:cs="Arial" w:eastAsia="Arial" w:hAnsi="Arial"/>
                <w:color w:val="6B7280"/>
                <w:sz w:val="18"/>
                <w:szCs w:val="18"/>
              </w:rPr>
              <w:t xml:space="preserve">Approved marketing materials only</w:t>
            </w:r>
          </w:p>
        </w:tc>
      </w:tr>
    </w:tbl>
    <w:p>
      <w:pPr>
        <w:spacing w:after="160"/>
      </w:pPr>
      <w:r>
        <w:t xml:space="preserve"/>
      </w:r>
    </w:p>
    <w:p>
      <w:pPr>
        <w:pStyle w:val="Heading2"/>
        <w:spacing w:after="100" w:before="280"/>
      </w:pPr>
      <w:r>
        <w:rPr>
          <w:rFonts w:ascii="Arial" w:cs="Arial" w:eastAsia="Arial" w:hAnsi="Arial"/>
          <w:b/>
          <w:bCs/>
          <w:color w:val="0B7A6E"/>
          <w:sz w:val="26"/>
          <w:szCs w:val="26"/>
        </w:rPr>
        <w:t xml:space="preserve">3.2 BAA Requirement Analysis</w:t>
      </w:r>
    </w:p>
    <w:p>
      <w:pPr>
        <w:spacing w:after="120"/>
      </w:pPr>
      <w:r>
        <w:rPr>
          <w:rFonts w:ascii="Arial" w:cs="Arial" w:eastAsia="Arial" w:hAnsi="Arial"/>
          <w:color w:val="374151"/>
          <w:sz w:val="22"/>
          <w:szCs w:val="22"/>
        </w:rPr>
        <w:t xml:space="preserve">Affiliate partners are not Business Associates under HIPAA because:</w:t>
      </w:r>
    </w:p>
    <w:p>
      <w:pPr>
        <w:pStyle w:val="ListParagraph"/>
        <w:numPr>
          <w:ilvl w:val="0"/>
          <w:numId w:val="2"/>
        </w:numPr>
        <w:spacing w:after="80"/>
      </w:pPr>
      <w:r>
        <w:rPr>
          <w:rFonts w:ascii="Arial" w:cs="Arial" w:eastAsia="Arial" w:hAnsi="Arial"/>
          <w:color w:val="374151"/>
          <w:sz w:val="22"/>
          <w:szCs w:val="22"/>
        </w:rPr>
        <w:t xml:space="preserve">They do not receive, maintain, transmit, or have access to PHI in the course of performing their services for the clinic.</w:t>
      </w:r>
    </w:p>
    <w:p>
      <w:pPr>
        <w:pStyle w:val="ListParagraph"/>
        <w:numPr>
          <w:ilvl w:val="0"/>
          <w:numId w:val="2"/>
        </w:numPr>
        <w:spacing w:after="80"/>
      </w:pPr>
      <w:r>
        <w:rPr>
          <w:rFonts w:ascii="Arial" w:cs="Arial" w:eastAsia="Arial" w:hAnsi="Arial"/>
          <w:color w:val="374151"/>
          <w:sz w:val="22"/>
          <w:szCs w:val="22"/>
        </w:rPr>
        <w:t xml:space="preserve">Their function (promoting the clinic's evaluation intake form) does not require PHI access.</w:t>
      </w:r>
    </w:p>
    <w:p>
      <w:pPr>
        <w:pStyle w:val="ListParagraph"/>
        <w:numPr>
          <w:ilvl w:val="0"/>
          <w:numId w:val="2"/>
        </w:numPr>
        <w:spacing w:after="80"/>
      </w:pPr>
      <w:r>
        <w:rPr>
          <w:rFonts w:ascii="Arial" w:cs="Arial" w:eastAsia="Arial" w:hAnsi="Arial"/>
          <w:color w:val="374151"/>
          <w:sz w:val="22"/>
          <w:szCs w:val="22"/>
        </w:rPr>
        <w:t xml:space="preserve">The platform is architecturally designed to prevent PHI from reaching the partner layer.</w:t>
      </w:r>
    </w:p>
    <w:p>
      <w:pPr>
        <w:spacing w:after="80"/>
      </w:pPr>
      <w:r>
        <w:t xml:space="preserve"/>
      </w:r>
    </w:p>
    <w:p>
      <w:pPr>
        <w:spacing w:after="120"/>
      </w:pPr>
      <w:r>
        <w:rPr>
          <w:rFonts w:ascii="Arial" w:cs="Arial" w:eastAsia="Arial" w:hAnsi="Arial"/>
          <w:b/>
          <w:bCs/>
          <w:color w:val="1F2937"/>
          <w:sz w:val="22"/>
          <w:szCs w:val="22"/>
        </w:rPr>
        <w:t xml:space="preserve">Conclusion: </w:t>
      </w:r>
      <w:r>
        <w:rPr>
          <w:rFonts w:ascii="Arial" w:cs="Arial" w:eastAsia="Arial" w:hAnsi="Arial"/>
          <w:color w:val="374151"/>
          <w:sz w:val="22"/>
          <w:szCs w:val="22"/>
        </w:rPr>
        <w:t xml:space="preserve">A Business Associate Agreement is not required between Miami Life Plastic Surgery and its affiliate partners. However, this conclusion should be confirmed by legal counsel.</w:t>
      </w:r>
    </w:p>
    <w:p>
      <w:pPr>
        <w:spacing w:after="160"/>
      </w:pPr>
      <w:r>
        <w:t xml:space="preserve"/>
      </w:r>
    </w:p>
    <w:p>
      <w:pPr>
        <w:pStyle w:val="Heading2"/>
        <w:spacing w:after="100" w:before="280"/>
      </w:pPr>
      <w:r>
        <w:rPr>
          <w:rFonts w:ascii="Arial" w:cs="Arial" w:eastAsia="Arial" w:hAnsi="Arial"/>
          <w:b/>
          <w:bCs/>
          <w:color w:val="0B7A6E"/>
          <w:sz w:val="26"/>
          <w:szCs w:val="26"/>
        </w:rPr>
        <w:t xml:space="preserve">3.3 Known Areas for Attorney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FEF3C7" w:val="clear"/>
            <w:tcMar>
              <w:top w:type="dxa" w:w="80"/>
              <w:left w:type="dxa" w:w="200"/>
              <w:bottom w:type="dxa" w:w="0"/>
              <w:right w:type="dxa" w:w="200"/>
            </w:tcMar>
          </w:tcPr>
          <w:p>
            <w:pPr>
              <w:spacing w:after="40"/>
            </w:pPr>
            <w:r>
              <w:rPr>
                <w:rFonts w:ascii="Arial" w:cs="Arial" w:eastAsia="Arial" w:hAnsi="Arial"/>
                <w:b/>
                <w:bCs/>
                <w:color w:val="92400E"/>
                <w:sz w:val="22"/>
                <w:szCs w:val="22"/>
              </w:rPr>
              <w:t xml:space="preserve">Item for Counsel</w:t>
            </w:r>
          </w:p>
        </w:tc>
      </w:tr>
      <w:tr>
        <w:tc>
          <w:tcPr>
            <w:tcBorders>
              <w:top w:val="none" w:color="FFFFFF" w:sz="0"/>
              <w:left w:val="none" w:color="FFFFFF" w:sz="0"/>
              <w:bottom w:val="none" w:color="FFFFFF" w:sz="0"/>
              <w:right w:val="none" w:color="FFFFFF" w:sz="0"/>
            </w:tcBorders>
            <w:shd w:fill="FEF3C7" w:val="clear"/>
            <w:tcMar>
              <w:top w:type="dxa" w:w="0"/>
              <w:left w:type="dxa" w:w="200"/>
              <w:bottom w:type="dxa" w:w="120"/>
              <w:right w:type="dxa" w:w="200"/>
            </w:tcMar>
          </w:tcPr>
          <w:p>
            <w:pPr>
              <w:spacing w:after="0"/>
            </w:pPr>
            <w:r>
              <w:rPr>
                <w:rFonts w:ascii="Arial" w:cs="Arial" w:eastAsia="Arial" w:hAnsi="Arial"/>
                <w:color w:val="92400E"/>
                <w:sz w:val="22"/>
                <w:szCs w:val="22"/>
              </w:rPr>
              <w:t xml:space="preserve">The payout ledger internally links a payout record to an evaluation_id (a UUID). This linkage is never exposed to partners. However, in the event of a subpoena, audit, or data breach, this internal linkage could allow re-identification of patients from payout records if the attacker also had access to the evaluations table. This is an architectural note, not a current exposure.</w:t>
            </w:r>
          </w:p>
        </w:tc>
      </w:tr>
    </w:tbl>
    <w:p>
      <w:pPr>
        <w:spacing w:after="120"/>
      </w:pPr>
      <w:r>
        <w:t xml:space="preserve"/>
      </w:r>
    </w:p>
    <w:p>
      <w:pPr>
        <w:spacing w:after="120"/>
      </w:pPr>
      <w:r>
        <w:rPr>
          <w:rFonts w:ascii="Arial" w:cs="Arial" w:eastAsia="Arial" w:hAnsi="Arial"/>
          <w:color w:val="374151"/>
          <w:sz w:val="22"/>
          <w:szCs w:val="22"/>
        </w:rPr>
        <w:t xml:space="preserve">The following items are recommended for attorney review:</w:t>
      </w:r>
    </w:p>
    <w:p>
      <w:pPr>
        <w:pStyle w:val="ListParagraph"/>
        <w:numPr>
          <w:ilvl w:val="0"/>
          <w:numId w:val="3"/>
        </w:numPr>
        <w:spacing w:after="80"/>
      </w:pPr>
      <w:r>
        <w:rPr>
          <w:rFonts w:ascii="Arial" w:cs="Arial" w:eastAsia="Arial" w:hAnsi="Arial"/>
          <w:color w:val="374151"/>
          <w:sz w:val="22"/>
          <w:szCs w:val="22"/>
        </w:rPr>
        <w:t xml:space="preserve">Confirm that affiliate partners do not qualify as Business Associates under 45 CFR §164.502(e).</w:t>
      </w:r>
    </w:p>
    <w:p>
      <w:pPr>
        <w:pStyle w:val="ListParagraph"/>
        <w:numPr>
          <w:ilvl w:val="0"/>
          <w:numId w:val="3"/>
        </w:numPr>
        <w:spacing w:after="80"/>
      </w:pPr>
      <w:r>
        <w:rPr>
          <w:rFonts w:ascii="Arial" w:cs="Arial" w:eastAsia="Arial" w:hAnsi="Arial"/>
          <w:color w:val="374151"/>
          <w:sz w:val="22"/>
          <w:szCs w:val="22"/>
        </w:rPr>
        <w:t xml:space="preserve">Review whether the internal payout-to-evaluation linkage creates any HIPAA documentation or access-control obligations.</w:t>
      </w:r>
    </w:p>
    <w:p>
      <w:pPr>
        <w:pStyle w:val="ListParagraph"/>
        <w:numPr>
          <w:ilvl w:val="0"/>
          <w:numId w:val="3"/>
        </w:numPr>
        <w:spacing w:after="80"/>
      </w:pPr>
      <w:r>
        <w:rPr>
          <w:rFonts w:ascii="Arial" w:cs="Arial" w:eastAsia="Arial" w:hAnsi="Arial"/>
          <w:color w:val="374151"/>
          <w:sz w:val="22"/>
          <w:szCs w:val="22"/>
        </w:rPr>
        <w:t xml:space="preserve">Confirm that the hashed IP address (HMAC-SHA256, not reversible without the app key) does not constitute PHI under the HIPAA de-identification standard (45 CFR §164.514(b)).</w:t>
      </w:r>
    </w:p>
    <w:p>
      <w:pPr>
        <w:pStyle w:val="ListParagraph"/>
        <w:numPr>
          <w:ilvl w:val="0"/>
          <w:numId w:val="3"/>
        </w:numPr>
        <w:spacing w:after="80"/>
      </w:pPr>
      <w:r>
        <w:rPr>
          <w:rFonts w:ascii="Arial" w:cs="Arial" w:eastAsia="Arial" w:hAnsi="Arial"/>
          <w:color w:val="374151"/>
          <w:sz w:val="22"/>
          <w:szCs w:val="22"/>
        </w:rPr>
        <w:t xml:space="preserve">Advise on retention schedule for attribution event logs given their indirect association with completed evaluations.</w:t>
      </w:r>
    </w:p>
    <w:p>
      <w:pPr>
        <w:spacing w:after="160"/>
      </w:pPr>
      <w:r>
        <w:t xml:space="preserve"/>
      </w:r>
    </w:p>
    <w:p>
      <w:pPr>
        <w:pStyle w:val="Heading1"/>
        <w:spacing w:after="160" w:before="360"/>
      </w:pPr>
      <w:r>
        <w:rPr>
          <w:rFonts w:ascii="Arial" w:cs="Arial" w:eastAsia="Arial" w:hAnsi="Arial"/>
          <w:b/>
          <w:bCs/>
          <w:color w:val="1F2937"/>
          <w:sz w:val="36"/>
          <w:szCs w:val="36"/>
        </w:rPr>
        <w:t xml:space="preserve">4. Technical Controls Summary</w:t>
      </w:r>
    </w:p>
    <w:p>
      <w:pPr>
        <w:spacing w:after="120"/>
      </w:pPr>
      <w:r>
        <w:rPr>
          <w:rFonts w:ascii="Arial" w:cs="Arial" w:eastAsia="Arial" w:hAnsi="Arial"/>
          <w:color w:val="374151"/>
          <w:sz w:val="22"/>
          <w:szCs w:val="22"/>
        </w:rPr>
        <w:t xml:space="preserve">The following controls are implemented and active:</w:t>
      </w:r>
    </w:p>
    <w:p>
      <w:pPr>
        <w:pStyle w:val="ListParagraph"/>
        <w:numPr>
          <w:ilvl w:val="0"/>
          <w:numId w:val="2"/>
        </w:numPr>
        <w:spacing w:after="80"/>
      </w:pPr>
      <w:r>
        <w:rPr>
          <w:rFonts w:ascii="Arial" w:cs="Arial" w:eastAsia="Arial" w:hAnsi="Arial"/>
          <w:b/>
          <w:bCs/>
          <w:color w:val="1F2937"/>
          <w:sz w:val="22"/>
          <w:szCs w:val="22"/>
        </w:rPr>
        <w:t xml:space="preserve">Encrypted PHI columns: </w:t>
      </w:r>
      <w:r>
        <w:rPr>
          <w:rFonts w:ascii="Arial" w:cs="Arial" w:eastAsia="Arial" w:hAnsi="Arial"/>
          <w:color w:val="374151"/>
          <w:sz w:val="22"/>
          <w:szCs w:val="22"/>
        </w:rPr>
        <w:t xml:space="preserve">All direct patient identifiers (name, email, phone) are encrypted at rest using Laravel's AES-256 application-layer encryption.</w:t>
      </w:r>
    </w:p>
    <w:p>
      <w:pPr>
        <w:pStyle w:val="ListParagraph"/>
        <w:numPr>
          <w:ilvl w:val="0"/>
          <w:numId w:val="2"/>
        </w:numPr>
        <w:spacing w:after="80"/>
      </w:pPr>
      <w:r>
        <w:rPr>
          <w:rFonts w:ascii="Arial" w:cs="Arial" w:eastAsia="Arial" w:hAnsi="Arial"/>
          <w:b/>
          <w:bCs/>
          <w:color w:val="1F2937"/>
          <w:sz w:val="22"/>
          <w:szCs w:val="22"/>
        </w:rPr>
        <w:t xml:space="preserve">Private S3 storage: </w:t>
      </w:r>
      <w:r>
        <w:rPr>
          <w:rFonts w:ascii="Arial" w:cs="Arial" w:eastAsia="Arial" w:hAnsi="Arial"/>
          <w:color w:val="374151"/>
          <w:sz w:val="22"/>
          <w:szCs w:val="22"/>
        </w:rPr>
        <w:t xml:space="preserve">Patient photos are stored in a private S3 bucket with SSE-KMS encryption. No public access. Access only via pre-signed URLs with 15-minute expiry.</w:t>
      </w:r>
    </w:p>
    <w:p>
      <w:pPr>
        <w:pStyle w:val="ListParagraph"/>
        <w:numPr>
          <w:ilvl w:val="0"/>
          <w:numId w:val="2"/>
        </w:numPr>
        <w:spacing w:after="80"/>
      </w:pPr>
      <w:r>
        <w:rPr>
          <w:rFonts w:ascii="Arial" w:cs="Arial" w:eastAsia="Arial" w:hAnsi="Arial"/>
          <w:b/>
          <w:bCs/>
          <w:color w:val="1F2937"/>
          <w:sz w:val="22"/>
          <w:szCs w:val="22"/>
        </w:rPr>
        <w:t xml:space="preserve">Anonymous tracking tokens: </w:t>
      </w:r>
      <w:r>
        <w:rPr>
          <w:rFonts w:ascii="Arial" w:cs="Arial" w:eastAsia="Arial" w:hAnsi="Arial"/>
          <w:color w:val="374151"/>
          <w:sz w:val="22"/>
          <w:szCs w:val="22"/>
        </w:rPr>
        <w:t xml:space="preserve">Affiliate tokens are cryptographically random strings with no encoded data.</w:t>
      </w:r>
    </w:p>
    <w:p>
      <w:pPr>
        <w:pStyle w:val="ListParagraph"/>
        <w:numPr>
          <w:ilvl w:val="0"/>
          <w:numId w:val="2"/>
        </w:numPr>
        <w:spacing w:after="80"/>
      </w:pPr>
      <w:r>
        <w:rPr>
          <w:rFonts w:ascii="Arial" w:cs="Arial" w:eastAsia="Arial" w:hAnsi="Arial"/>
          <w:b/>
          <w:bCs/>
          <w:color w:val="1F2937"/>
          <w:sz w:val="22"/>
          <w:szCs w:val="22"/>
        </w:rPr>
        <w:t xml:space="preserve">IP hashing: </w:t>
      </w:r>
      <w:r>
        <w:rPr>
          <w:rFonts w:ascii="Arial" w:cs="Arial" w:eastAsia="Arial" w:hAnsi="Arial"/>
          <w:color w:val="374151"/>
          <w:sz w:val="22"/>
          <w:szCs w:val="22"/>
        </w:rPr>
        <w:t xml:space="preserve">Visitor IP addresses are stored as HMAC-SHA256 hashes keyed to the application secret. The plaintext IP is never persisted.</w:t>
      </w:r>
    </w:p>
    <w:p>
      <w:pPr>
        <w:pStyle w:val="ListParagraph"/>
        <w:numPr>
          <w:ilvl w:val="0"/>
          <w:numId w:val="2"/>
        </w:numPr>
        <w:spacing w:after="80"/>
      </w:pPr>
      <w:r>
        <w:rPr>
          <w:rFonts w:ascii="Arial" w:cs="Arial" w:eastAsia="Arial" w:hAnsi="Arial"/>
          <w:b/>
          <w:bCs/>
          <w:color w:val="1F2937"/>
          <w:sz w:val="22"/>
          <w:szCs w:val="22"/>
        </w:rPr>
        <w:t xml:space="preserve">Tenant isolation: </w:t>
      </w:r>
      <w:r>
        <w:rPr>
          <w:rFonts w:ascii="Arial" w:cs="Arial" w:eastAsia="Arial" w:hAnsi="Arial"/>
          <w:color w:val="374151"/>
          <w:sz w:val="22"/>
          <w:szCs w:val="22"/>
        </w:rPr>
        <w:t xml:space="preserve">All affiliate data is scoped to the clinic's tenant via both application-layer Global Scopes and PostgreSQL Row-Level Security policies.</w:t>
      </w:r>
    </w:p>
    <w:p>
      <w:pPr>
        <w:pStyle w:val="ListParagraph"/>
        <w:numPr>
          <w:ilvl w:val="0"/>
          <w:numId w:val="2"/>
        </w:numPr>
        <w:spacing w:after="80"/>
      </w:pPr>
      <w:r>
        <w:rPr>
          <w:rFonts w:ascii="Arial" w:cs="Arial" w:eastAsia="Arial" w:hAnsi="Arial"/>
          <w:b/>
          <w:bCs/>
          <w:color w:val="1F2937"/>
          <w:sz w:val="22"/>
          <w:szCs w:val="22"/>
        </w:rPr>
        <w:t xml:space="preserve">Audit logging: </w:t>
      </w:r>
      <w:r>
        <w:rPr>
          <w:rFonts w:ascii="Arial" w:cs="Arial" w:eastAsia="Arial" w:hAnsi="Arial"/>
          <w:color w:val="374151"/>
          <w:sz w:val="22"/>
          <w:szCs w:val="22"/>
        </w:rPr>
        <w:t xml:space="preserve">All PHI access events are logged in an append-only audit_log_entries table.</w:t>
      </w:r>
    </w:p>
    <w:p>
      <w:pPr>
        <w:pStyle w:val="ListParagraph"/>
        <w:numPr>
          <w:ilvl w:val="0"/>
          <w:numId w:val="2"/>
        </w:numPr>
        <w:spacing w:after="80"/>
      </w:pPr>
      <w:r>
        <w:rPr>
          <w:rFonts w:ascii="Arial" w:cs="Arial" w:eastAsia="Arial" w:hAnsi="Arial"/>
          <w:b/>
          <w:bCs/>
          <w:color w:val="1F2937"/>
          <w:sz w:val="22"/>
          <w:szCs w:val="22"/>
        </w:rPr>
        <w:t xml:space="preserve">No PHI in URLs: </w:t>
      </w:r>
      <w:r>
        <w:rPr>
          <w:rFonts w:ascii="Arial" w:cs="Arial" w:eastAsia="Arial" w:hAnsi="Arial"/>
          <w:color w:val="374151"/>
          <w:sz w:val="22"/>
          <w:szCs w:val="22"/>
        </w:rPr>
        <w:t xml:space="preserve">The platform prohibits PHI in URL parameters. Affiliate tracking tokens do not contain or reference patient data.</w:t>
      </w:r>
    </w:p>
    <w:p>
      <w:pPr>
        <w:spacing w:after="160"/>
      </w:pPr>
      <w:r>
        <w:t xml:space="preserve"/>
      </w:r>
    </w:p>
    <w:p>
      <w:pPr>
        <w:pStyle w:val="Heading1"/>
        <w:spacing w:after="160" w:before="360"/>
      </w:pPr>
      <w:r>
        <w:rPr>
          <w:rFonts w:ascii="Arial" w:cs="Arial" w:eastAsia="Arial" w:hAnsi="Arial"/>
          <w:b/>
          <w:bCs/>
          <w:color w:val="1F2937"/>
          <w:sz w:val="36"/>
          <w:szCs w:val="36"/>
        </w:rPr>
        <w:t xml:space="preserve">5. Certification</w:t>
      </w:r>
    </w:p>
    <w:p>
      <w:pPr>
        <w:spacing w:after="120"/>
      </w:pPr>
      <w:r>
        <w:rPr>
          <w:rFonts w:ascii="Arial" w:cs="Arial" w:eastAsia="Arial" w:hAnsi="Arial"/>
          <w:color w:val="374151"/>
          <w:sz w:val="22"/>
          <w:szCs w:val="22"/>
        </w:rPr>
        <w:t xml:space="preserve">This document represents the good-faith assessment of Miami Life Plastic Surgery regarding the HIPAA compliance posture of its affiliate program as of April 2026. It is an internal record and does not constitute legal advice.</w:t>
      </w:r>
    </w:p>
    <w:p>
      <w:pPr>
        <w:spacing w:after="80"/>
      </w:pPr>
      <w:r>
        <w:t xml:space="preserve"/>
      </w:r>
    </w:p>
    <w:p>
      <w:pPr>
        <w:spacing w:after="120"/>
      </w:pPr>
      <w:r>
        <w:rPr>
          <w:rFonts w:ascii="Arial" w:cs="Arial" w:eastAsia="Arial" w:hAnsi="Arial"/>
          <w:b/>
          <w:bCs/>
          <w:color w:val="1F2937"/>
          <w:sz w:val="22"/>
          <w:szCs w:val="22"/>
        </w:rPr>
        <w:t xml:space="preserve">This document should be reviewed and signed by a qualified healthcare attorney before the affiliate program is activated for live patient traffic.</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560"/>
        <w:gridCol w:w="4400"/>
      </w:tblGrid>
      <w:tr>
        <w:tc>
          <w:tcPr>
            <w:tcW w:type="dxa" w:w="4400"/>
            <w:tcBorders>
              <w:top w:val="none" w:color="FFFFFF" w:sz="0"/>
              <w:left w:val="none" w:color="FFFFFF" w:sz="0"/>
              <w:bottom w:val="none" w:color="FFFFFF" w:sz="0"/>
              <w:right w:val="none" w:color="FFFFFF" w:sz="0"/>
            </w:tcBorders>
          </w:tcPr>
          <w:p>
            <w:pPr>
              <w:spacing w:after="60"/>
            </w:pPr>
            <w:r>
              <w:rPr>
                <w:rFonts w:ascii="Arial" w:cs="Arial" w:eastAsia="Arial" w:hAnsi="Arial"/>
                <w:color w:val="1F2937"/>
                <w:sz w:val="22"/>
                <w:szCs w:val="22"/>
              </w:rPr>
              <w:t xml:space="preserve">____________________________________________________</w:t>
            </w:r>
          </w:p>
          <w:p>
            <w:pPr>
              <w:spacing w:after="40"/>
            </w:pPr>
            <w:r>
              <w:rPr>
                <w:rFonts w:ascii="Arial" w:cs="Arial" w:eastAsia="Arial" w:hAnsi="Arial"/>
                <w:b/>
                <w:bCs/>
                <w:color w:val="1F2937"/>
                <w:sz w:val="22"/>
                <w:szCs w:val="22"/>
              </w:rPr>
              <w:t xml:space="preserve">Authorized Signatory — Miami Life Plastic Surgery</w:t>
            </w:r>
          </w:p>
          <w:p>
            <w:pPr>
              <w:spacing w:after="40"/>
            </w:pPr>
            <w:r>
              <w:rPr>
                <w:rFonts w:ascii="Arial" w:cs="Arial" w:eastAsia="Arial" w:hAnsi="Arial"/>
                <w:color w:val="374151"/>
                <w:sz w:val="22"/>
                <w:szCs w:val="22"/>
              </w:rPr>
              <w:t xml:space="preserve">Name: ___________________________</w:t>
            </w:r>
          </w:p>
          <w:p>
            <w:pPr>
              <w:spacing w:after="40"/>
            </w:pPr>
            <w:r>
              <w:rPr>
                <w:rFonts w:ascii="Arial" w:cs="Arial" w:eastAsia="Arial" w:hAnsi="Arial"/>
                <w:color w:val="374151"/>
                <w:sz w:val="22"/>
                <w:szCs w:val="22"/>
              </w:rPr>
              <w:t xml:space="preserve">Title: ___________________________</w:t>
            </w:r>
          </w:p>
          <w:p>
            <w:pPr>
              <w:spacing w:after="0"/>
            </w:pPr>
            <w:r>
              <w:rPr>
                <w:rFonts w:ascii="Arial" w:cs="Arial" w:eastAsia="Arial" w:hAnsi="Arial"/>
                <w:color w:val="374151"/>
                <w:sz w:val="22"/>
                <w:szCs w:val="22"/>
              </w:rPr>
              <w:t xml:space="preserve">Date:  ___________________________</w:t>
            </w:r>
          </w:p>
        </w:tc>
        <w:tc>
          <w:tcPr>
            <w:tcW w:type="dxa" w:w="560"/>
            <w:tcBorders>
              <w:top w:val="none" w:color="FFFFFF" w:sz="0"/>
              <w:left w:val="none" w:color="FFFFFF" w:sz="0"/>
              <w:bottom w:val="none" w:color="FFFFFF" w:sz="0"/>
              <w:right w:val="none" w:color="FFFFFF" w:sz="0"/>
            </w:tcBorders>
          </w:tcPr>
          <w:p>
            <w:pPr>
              <w:spacing w:after="120"/>
            </w:pPr>
            <w:r>
              <w:rPr>
                <w:rFonts w:ascii="Arial" w:cs="Arial" w:eastAsia="Arial" w:hAnsi="Arial"/>
                <w:color w:val="374151"/>
                <w:sz w:val="22"/>
                <w:szCs w:val="22"/>
              </w:rPr>
              <w:t xml:space="preserve"/>
            </w:r>
          </w:p>
        </w:tc>
        <w:tc>
          <w:tcPr>
            <w:tcW w:type="dxa" w:w="4400"/>
            <w:tcBorders>
              <w:top w:val="none" w:color="FFFFFF" w:sz="0"/>
              <w:left w:val="none" w:color="FFFFFF" w:sz="0"/>
              <w:bottom w:val="none" w:color="FFFFFF" w:sz="0"/>
              <w:right w:val="none" w:color="FFFFFF" w:sz="0"/>
            </w:tcBorders>
          </w:tcPr>
          <w:p>
            <w:pPr>
              <w:spacing w:after="60"/>
            </w:pPr>
            <w:r>
              <w:rPr>
                <w:rFonts w:ascii="Arial" w:cs="Arial" w:eastAsia="Arial" w:hAnsi="Arial"/>
                <w:color w:val="1F2937"/>
                <w:sz w:val="22"/>
                <w:szCs w:val="22"/>
              </w:rPr>
              <w:t xml:space="preserve">____________________________________________________</w:t>
            </w:r>
          </w:p>
          <w:p>
            <w:pPr>
              <w:spacing w:after="40"/>
            </w:pPr>
            <w:r>
              <w:rPr>
                <w:rFonts w:ascii="Arial" w:cs="Arial" w:eastAsia="Arial" w:hAnsi="Arial"/>
                <w:b/>
                <w:bCs/>
                <w:color w:val="1F2937"/>
                <w:sz w:val="22"/>
                <w:szCs w:val="22"/>
              </w:rPr>
              <w:t xml:space="preserve">Affiliate Partner</w:t>
            </w:r>
          </w:p>
          <w:p>
            <w:pPr>
              <w:spacing w:after="40"/>
            </w:pPr>
            <w:r>
              <w:rPr>
                <w:rFonts w:ascii="Arial" w:cs="Arial" w:eastAsia="Arial" w:hAnsi="Arial"/>
                <w:color w:val="374151"/>
                <w:sz w:val="22"/>
                <w:szCs w:val="22"/>
              </w:rPr>
              <w:t xml:space="preserve">Name: ___________________________</w:t>
            </w:r>
          </w:p>
          <w:p>
            <w:pPr>
              <w:spacing w:after="40"/>
            </w:pPr>
            <w:r>
              <w:rPr>
                <w:rFonts w:ascii="Arial" w:cs="Arial" w:eastAsia="Arial" w:hAnsi="Arial"/>
                <w:color w:val="374151"/>
                <w:sz w:val="22"/>
                <w:szCs w:val="22"/>
              </w:rPr>
              <w:t xml:space="preserve">Handle: __________________________</w:t>
            </w:r>
          </w:p>
          <w:p>
            <w:pPr>
              <w:spacing w:after="0"/>
            </w:pPr>
            <w:r>
              <w:rPr>
                <w:rFonts w:ascii="Arial" w:cs="Arial" w:eastAsia="Arial" w:hAnsi="Arial"/>
                <w:color w:val="374151"/>
                <w:sz w:val="22"/>
                <w:szCs w:val="22"/>
              </w:rPr>
              <w:t xml:space="preserve">Date:   ___________________________</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Attorney name</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Firm</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Date reviewed</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Recommendation</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  Approved as written     /     Approved with changes     /     Requires revision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spacing w:before="0"/>
    </w:pPr>
    <w:r>
      <w:rPr>
        <w:rFonts w:ascii="Arial" w:cs="Arial" w:eastAsia="Arial" w:hAnsi="Arial"/>
        <w:color w:val="6B7280"/>
        <w:sz w:val="16"/>
        <w:szCs w:val="16"/>
      </w:rPr>
      <w:t xml:space="preserve">Miami Life Plastic Surgery  —  Confidential</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360"/>
      </w:tabs>
      <w:spacing w:after="0"/>
    </w:pPr>
    <w:r>
      <w:rPr>
        <w:rFonts w:ascii="Arial" w:cs="Arial" w:eastAsia="Arial" w:hAnsi="Arial"/>
        <w:b/>
        <w:bCs/>
        <w:color w:val="0E9E8E"/>
        <w:sz w:val="18"/>
        <w:szCs w:val="18"/>
      </w:rPr>
      <w:t xml:space="preserve">Miami Life Plastic Surgery  </w:t>
    </w:r>
    <w:r>
      <w:rPr>
        <w:rFonts w:ascii="Arial" w:cs="Arial" w:eastAsia="Arial" w:hAnsi="Arial"/>
        <w:color w:val="6B7280"/>
        <w:sz w:val="18"/>
        <w:szCs w:val="18"/>
      </w:rPr>
      <w:t xml:space="preserve">—  HIPAA Compliance Note</w:t>
    </w:r>
    <w:r>
      <w:rPr>
        <w:rFonts w:ascii="Arial" w:cs="Arial" w:eastAsia="Arial" w:hAnsi="Arial"/>
        <w:sz w:val="18"/>
        <w:szCs w:val="18"/>
      </w:rPr>
      <w:t xml:space="preserve">	</w:t>
    </w:r>
    <w:r>
      <w:rPr>
        <w:rFonts w:ascii="Arial" w:cs="Arial" w:eastAsia="Arial" w:hAnsi="Arial"/>
        <w:b/>
        <w:bCs/>
        <w:color w:val="92400E"/>
        <w:sz w:val="18"/>
        <w:szCs w:val="18"/>
      </w:rPr>
      <w:t xml:space="preserve">DRAFT — Attorney Review Required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B7A6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2026-04-19T05:07:27.781Z</dcterms:created>
  <dcterms:modified xsi:type="dcterms:W3CDTF">2026-04-19T05:07:27.782Z</dcterms:modified>
</cp:coreProperties>
</file>

<file path=docProps/custom.xml><?xml version="1.0" encoding="utf-8"?>
<Properties xmlns="http://schemas.openxmlformats.org/officeDocument/2006/custom-properties" xmlns:vt="http://schemas.openxmlformats.org/officeDocument/2006/docPropsVTypes"/>
</file>