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0" w:after="120"/>
      </w:pPr>
      <w:r>
        <w:rPr>
          <w:rFonts w:ascii="Arial" w:cs="Arial" w:eastAsia="Arial" w:hAnsi="Arial"/>
          <w:b/>
          <w:bCs/>
          <w:color w:val="534AB7"/>
          <w:sz w:val="40"/>
          <w:szCs w:val="40"/>
        </w:rPr>
        <w:t xml:space="preserve">ROTER FADEN</w:t>
      </w:r>
    </w:p>
    <w:p>
      <w:pPr>
        <w:spacing w:before="0" w:after="60"/>
      </w:pPr>
      <w:r>
        <w:rPr>
          <w:rFonts w:ascii="Arial" w:cs="Arial" w:eastAsia="Arial" w:hAnsi="Arial"/>
          <w:b/>
          <w:bCs/>
          <w:color w:val="222222"/>
          <w:sz w:val="30"/>
          <w:szCs w:val="30"/>
        </w:rPr>
        <w:t xml:space="preserve">Reinforcement Learning – 80-Stunden-Kurs</w:t>
      </w:r>
    </w:p>
    <w:p>
      <w:pPr>
        <w:spacing w:before="0" w:after="240"/>
      </w:pPr>
      <w:r>
        <w:rPr>
          <w:rFonts w:ascii="Arial" w:cs="Arial" w:eastAsia="Arial" w:hAnsi="Arial"/>
          <w:color w:val="666666"/>
          <w:sz w:val="20"/>
          <w:szCs w:val="20"/>
        </w:rPr>
        <w:t xml:space="preserve">Zielgruppe: Fortgeschrittene mit Deep-Learning-Kenntnissen  |  Umfang: 80 Stunden  |  Module: 22</w:t>
      </w:r>
    </w:p>
    <w:p>
      <w:pPr>
        <w:pStyle w:val="Heading1"/>
        <w:spacing w:before="360" w:after="120"/>
      </w:pPr>
      <w:r>
        <w:rPr>
          <w:rFonts w:ascii="Arial" w:cs="Arial" w:eastAsia="Arial" w:hAnsi="Arial"/>
          <w:b/>
          <w:bCs/>
          <w:color w:val="534AB7"/>
          <w:sz w:val="32"/>
          <w:szCs w:val="32"/>
        </w:rPr>
        <w:t xml:space="preserve">Kursübersicht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5200"/>
        <w:gridCol w:w="1680"/>
        <w:gridCol w:w="1280"/>
      </w:tblGrid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534AB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Phase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534AB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Inhalt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534AB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Stunden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534AB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Module</w:t>
            </w:r>
          </w:p>
        </w:tc>
      </w:tr>
      <w:tr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3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534AB7"/>
                <w:sz w:val="20"/>
                <w:szCs w:val="20"/>
              </w:rPr>
              <w:t xml:space="preserve">1</w:t>
            </w:r>
          </w:p>
        </w:tc>
        <w:tc>
          <w:tcPr>
            <w:tcW w:type="dxa" w:w="5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Grundlagen &amp; MDP-Framework</w:t>
            </w:r>
          </w:p>
        </w:tc>
        <w:tc>
          <w:tcPr>
            <w:tcW w:type="dxa" w:w="1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14 h</w:t>
            </w:r>
          </w:p>
        </w:tc>
        <w:tc>
          <w:tcPr>
            <w:tcW w:type="dxa" w:w="12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34AB7"/>
                <w:sz w:val="20"/>
                <w:szCs w:val="20"/>
              </w:rPr>
              <w:t xml:space="preserve">M1–M4</w:t>
            </w:r>
          </w:p>
        </w:tc>
      </w:tr>
      <w:tr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3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F6E56"/>
                <w:sz w:val="20"/>
                <w:szCs w:val="20"/>
              </w:rPr>
              <w:t xml:space="preserve">2</w:t>
            </w:r>
          </w:p>
        </w:tc>
        <w:tc>
          <w:tcPr>
            <w:tcW w:type="dxa" w:w="5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Klassisches RL (Q-Learning, SARSA, PG)</w:t>
            </w:r>
          </w:p>
        </w:tc>
        <w:tc>
          <w:tcPr>
            <w:tcW w:type="dxa" w:w="1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20 h</w:t>
            </w:r>
          </w:p>
        </w:tc>
        <w:tc>
          <w:tcPr>
            <w:tcW w:type="dxa" w:w="12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6E56"/>
                <w:sz w:val="20"/>
                <w:szCs w:val="20"/>
              </w:rPr>
              <w:t xml:space="preserve">M5–M9</w:t>
            </w:r>
          </w:p>
        </w:tc>
      </w:tr>
      <w:tr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3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993C1D"/>
                <w:sz w:val="20"/>
                <w:szCs w:val="20"/>
              </w:rPr>
              <w:t xml:space="preserve">3</w:t>
            </w:r>
          </w:p>
        </w:tc>
        <w:tc>
          <w:tcPr>
            <w:tcW w:type="dxa" w:w="5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Deep Reinforcement Learning</w:t>
            </w:r>
          </w:p>
        </w:tc>
        <w:tc>
          <w:tcPr>
            <w:tcW w:type="dxa" w:w="1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18 h</w:t>
            </w:r>
          </w:p>
        </w:tc>
        <w:tc>
          <w:tcPr>
            <w:tcW w:type="dxa" w:w="12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993C1D"/>
                <w:sz w:val="20"/>
                <w:szCs w:val="20"/>
              </w:rPr>
              <w:t xml:space="preserve">M10–M14</w:t>
            </w:r>
          </w:p>
        </w:tc>
      </w:tr>
      <w:tr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3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85FA5"/>
                <w:sz w:val="20"/>
                <w:szCs w:val="20"/>
              </w:rPr>
              <w:t xml:space="preserve">4</w:t>
            </w:r>
          </w:p>
        </w:tc>
        <w:tc>
          <w:tcPr>
            <w:tcW w:type="dxa" w:w="5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Multi-Agent RL</w:t>
            </w:r>
          </w:p>
        </w:tc>
        <w:tc>
          <w:tcPr>
            <w:tcW w:type="dxa" w:w="1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14 h</w:t>
            </w:r>
          </w:p>
        </w:tc>
        <w:tc>
          <w:tcPr>
            <w:tcW w:type="dxa" w:w="12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85FA5"/>
                <w:sz w:val="20"/>
                <w:szCs w:val="20"/>
              </w:rPr>
              <w:t xml:space="preserve">M15–M18</w:t>
            </w:r>
          </w:p>
        </w:tc>
      </w:tr>
      <w:tr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3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854F0B"/>
                <w:sz w:val="20"/>
                <w:szCs w:val="20"/>
              </w:rPr>
              <w:t xml:space="preserve">5</w:t>
            </w:r>
          </w:p>
        </w:tc>
        <w:tc>
          <w:tcPr>
            <w:tcW w:type="dxa" w:w="5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RL in der Praxis (Robotik, Games, LLMs)</w:t>
            </w:r>
          </w:p>
        </w:tc>
        <w:tc>
          <w:tcPr>
            <w:tcW w:type="dxa" w:w="1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14 h</w:t>
            </w:r>
          </w:p>
        </w:tc>
        <w:tc>
          <w:tcPr>
            <w:tcW w:type="dxa" w:w="12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854F0B"/>
                <w:sz w:val="20"/>
                <w:szCs w:val="20"/>
              </w:rPr>
              <w:t xml:space="preserve">M19–M22</w:t>
            </w:r>
          </w:p>
        </w:tc>
      </w:tr>
    </w:tbl>
    <w:p>
      <w:r>
        <w:rPr>
          <w:sz w:val="22"/>
          <w:szCs w:val="22"/>
        </w:rPr>
        <w:t xml:space="preserve"/>
      </w:r>
    </w:p>
    <w:p>
      <w:r>
        <w:rPr>
          <w:sz w:val="22"/>
          <w:szCs w:val="22"/>
        </w:rPr>
        <w:t xml:space="preserve"/>
      </w:r>
    </w:p>
    <w:p>
      <w:pPr>
        <w:pStyle w:val="Heading1"/>
        <w:spacing w:before="360" w:after="120"/>
      </w:pPr>
      <w:r>
        <w:rPr>
          <w:rFonts w:ascii="Arial" w:cs="Arial" w:eastAsia="Arial" w:hAnsi="Arial"/>
          <w:b/>
          <w:bCs/>
          <w:color w:val="534AB7"/>
          <w:sz w:val="32"/>
          <w:szCs w:val="32"/>
        </w:rPr>
        <w:t xml:space="preserve">Lernziele</w:t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Nach Abschluss des Kurses sind die Teilnehmer in der Lage: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Markov-Entscheidungsprozesse mathematisch zu formulieren und analytisch zu lösen.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Klassische RL-Algorithmen (Q-Learning, SARSA, Monte Carlo, TD) korrekt anzuwenden und zu implementieren.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State-of-the-Art Deep-RL-Algorithmen (DQN, PPO, A3C) zu implementieren und zu debuggen.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Multi-Agent-Systeme zu modellieren und kooperative sowie kompetitive Algorithmen einzusetzen.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RL-Methoden auf reale Problemstellungen in Robotik, Games und Large Language Models anzuwenden.</w:t>
      </w:r>
    </w:p>
    <w:p>
      <w:r>
        <w:rPr>
          <w:sz w:val="22"/>
          <w:szCs w:val="22"/>
        </w:rPr>
        <w:t xml:space="preserve"/>
      </w:r>
    </w:p>
    <w:p>
      <w:pPr>
        <w:pStyle w:val="Heading1"/>
        <w:spacing w:before="360" w:after="120"/>
      </w:pPr>
      <w:r>
        <w:rPr>
          <w:rFonts w:ascii="Arial" w:cs="Arial" w:eastAsia="Arial" w:hAnsi="Arial"/>
          <w:b/>
          <w:bCs/>
          <w:color w:val="534AB7"/>
          <w:sz w:val="32"/>
          <w:szCs w:val="32"/>
        </w:rPr>
        <w:t xml:space="preserve">Detaillierter Kursplan</w:t>
      </w:r>
    </w:p>
    <w:p>
      <w:r>
        <w:rPr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200"/>
        <w:gridCol w:w="2160"/>
      </w:tblGrid>
      <w:tr>
        <w:tc>
          <w:tcPr>
            <w:tcW w:type="dxa" w:w="7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EF0FF" w:val="clear"/>
            <w:tcMar>
              <w:top w:type="dxa" w:w="120"/>
              <w:left w:type="dxa" w:w="180"/>
              <w:bottom w:type="dxa" w:w="12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534AB7"/>
                <w:sz w:val="24"/>
                <w:szCs w:val="24"/>
              </w:rPr>
              <w:t xml:space="preserve">Phase 1  </w:t>
            </w:r>
            <w:r>
              <w:rPr>
                <w:rFonts w:ascii="Arial" w:cs="Arial" w:eastAsia="Arial" w:hAnsi="Arial"/>
                <w:b/>
                <w:bCs/>
                <w:color w:val="111111"/>
                <w:sz w:val="24"/>
                <w:szCs w:val="24"/>
              </w:rPr>
              <w:t xml:space="preserve">Grundlagen &amp; MDP-Framework</w:t>
            </w:r>
          </w:p>
        </w:tc>
        <w:tc>
          <w:tcPr>
            <w:tcW w:type="dxa" w:w="2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534AB7" w:val="clear"/>
            <w:tcMar>
              <w:top w:type="dxa" w:w="120"/>
              <w:left w:type="dxa" w:w="120"/>
              <w:bottom w:type="dxa" w:w="12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14 Stunden</w:t>
            </w:r>
          </w:p>
        </w:tc>
      </w:tr>
    </w:tbl>
    <w:p>
      <w:r>
        <w:rPr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800"/>
        <w:gridCol w:w="2560"/>
      </w:tblGrid>
      <w:tr>
        <w:tc>
          <w:tcPr>
            <w:tcW w:type="dxa" w:w="6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100"/>
              <w:left w:type="dxa" w:w="180"/>
              <w:bottom w:type="dxa" w:w="100"/>
              <w:right w:type="dxa" w:w="12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M1 · Einführung &amp; Motivation</w:t>
            </w:r>
          </w:p>
          <w:p>
            <w:r>
              <w:rPr>
                <w:rFonts w:ascii="Arial" w:cs="Arial" w:eastAsia="Arial" w:hAnsi="Arial"/>
                <w:i/>
                <w:iCs/>
                <w:color w:val="555555"/>
                <w:sz w:val="20"/>
                <w:szCs w:val="20"/>
              </w:rPr>
              <w:t xml:space="preserve">RL vs. Supervised/Unsupervised Learning, Anwendungsfelder (Games, Robotik, LLMs), historischer Überblick, Taxonomie von RL-Algorithmen</w:t>
            </w:r>
          </w:p>
        </w:tc>
        <w:tc>
          <w:tcPr>
            <w:tcW w:type="dxa" w:w="2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8F8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534AB7"/>
                <w:sz w:val="22"/>
                <w:szCs w:val="22"/>
              </w:rPr>
              <w:t xml:space="preserve">2 h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800"/>
        <w:gridCol w:w="2560"/>
      </w:tblGrid>
      <w:tr>
        <w:tc>
          <w:tcPr>
            <w:tcW w:type="dxa" w:w="6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100"/>
              <w:left w:type="dxa" w:w="180"/>
              <w:bottom w:type="dxa" w:w="100"/>
              <w:right w:type="dxa" w:w="12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M2 · Markov-Entscheidungsprozesse (MDP)</w:t>
            </w:r>
          </w:p>
          <w:p>
            <w:r>
              <w:rPr>
                <w:rFonts w:ascii="Arial" w:cs="Arial" w:eastAsia="Arial" w:hAnsi="Arial"/>
                <w:i/>
                <w:iCs/>
                <w:color w:val="555555"/>
                <w:sz w:val="20"/>
                <w:szCs w:val="20"/>
              </w:rPr>
              <w:t xml:space="preserve">Zustandsraum, Aktionsraum, Übergangsmodell P(s'|s,a), Reward-Funktion R(s,a,s'), Zeithorizont (endlich / unendlich), Discount-Faktor γ</w:t>
            </w:r>
          </w:p>
        </w:tc>
        <w:tc>
          <w:tcPr>
            <w:tcW w:type="dxa" w:w="2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8F8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534AB7"/>
                <w:sz w:val="22"/>
                <w:szCs w:val="22"/>
              </w:rPr>
              <w:t xml:space="preserve">4 h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800"/>
        <w:gridCol w:w="2560"/>
      </w:tblGrid>
      <w:tr>
        <w:tc>
          <w:tcPr>
            <w:tcW w:type="dxa" w:w="6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100"/>
              <w:left w:type="dxa" w:w="180"/>
              <w:bottom w:type="dxa" w:w="100"/>
              <w:right w:type="dxa" w:w="12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M3 · Bellman-Gleichungen</w:t>
            </w:r>
          </w:p>
          <w:p>
            <w:r>
              <w:rPr>
                <w:rFonts w:ascii="Arial" w:cs="Arial" w:eastAsia="Arial" w:hAnsi="Arial"/>
                <w:i/>
                <w:iCs/>
                <w:color w:val="555555"/>
                <w:sz w:val="20"/>
                <w:szCs w:val="20"/>
              </w:rPr>
              <w:t xml:space="preserve">Optimalitätsprinzip von Bellman, State-Value V*(s) und Action-Value Q*(s,a), Bellman-Backup-Operator, Kontraktionseigenschaft</w:t>
            </w:r>
          </w:p>
        </w:tc>
        <w:tc>
          <w:tcPr>
            <w:tcW w:type="dxa" w:w="2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8F8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534AB7"/>
                <w:sz w:val="22"/>
                <w:szCs w:val="22"/>
              </w:rPr>
              <w:t xml:space="preserve">4 h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800"/>
        <w:gridCol w:w="2560"/>
      </w:tblGrid>
      <w:tr>
        <w:tc>
          <w:tcPr>
            <w:tcW w:type="dxa" w:w="6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100"/>
              <w:left w:type="dxa" w:w="180"/>
              <w:bottom w:type="dxa" w:w="100"/>
              <w:right w:type="dxa" w:w="12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M4 · Dynamische Programmierung</w:t>
            </w:r>
          </w:p>
          <w:p>
            <w:r>
              <w:rPr>
                <w:rFonts w:ascii="Arial" w:cs="Arial" w:eastAsia="Arial" w:hAnsi="Arial"/>
                <w:i/>
                <w:iCs/>
                <w:color w:val="555555"/>
                <w:sz w:val="20"/>
                <w:szCs w:val="20"/>
              </w:rPr>
              <w:t xml:space="preserve">Policy Evaluation, Policy Iteration, Value Iteration, Komplexitäts- und Konvergenzanalyse, Curse of Dimensionality</w:t>
            </w:r>
          </w:p>
        </w:tc>
        <w:tc>
          <w:tcPr>
            <w:tcW w:type="dxa" w:w="2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8F8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534AB7"/>
                <w:sz w:val="22"/>
                <w:szCs w:val="22"/>
              </w:rPr>
              <w:t xml:space="preserve">4 h</w:t>
            </w:r>
          </w:p>
        </w:tc>
      </w:tr>
    </w:tbl>
    <w:p>
      <w:r>
        <w:rPr>
          <w:sz w:val="22"/>
          <w:szCs w:val="22"/>
        </w:rPr>
        <w:t xml:space="preserve"/>
      </w:r>
    </w:p>
    <w:p>
      <w:r>
        <w:rPr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200"/>
        <w:gridCol w:w="2160"/>
      </w:tblGrid>
      <w:tr>
        <w:tc>
          <w:tcPr>
            <w:tcW w:type="dxa" w:w="7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EF0FF" w:val="clear"/>
            <w:tcMar>
              <w:top w:type="dxa" w:w="120"/>
              <w:left w:type="dxa" w:w="180"/>
              <w:bottom w:type="dxa" w:w="12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F6E56"/>
                <w:sz w:val="24"/>
                <w:szCs w:val="24"/>
              </w:rPr>
              <w:t xml:space="preserve">Phase 2  </w:t>
            </w:r>
            <w:r>
              <w:rPr>
                <w:rFonts w:ascii="Arial" w:cs="Arial" w:eastAsia="Arial" w:hAnsi="Arial"/>
                <w:b/>
                <w:bCs/>
                <w:color w:val="111111"/>
                <w:sz w:val="24"/>
                <w:szCs w:val="24"/>
              </w:rPr>
              <w:t xml:space="preserve">Klassisches RL</w:t>
            </w:r>
          </w:p>
        </w:tc>
        <w:tc>
          <w:tcPr>
            <w:tcW w:type="dxa" w:w="2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F6E56" w:val="clear"/>
            <w:tcMar>
              <w:top w:type="dxa" w:w="120"/>
              <w:left w:type="dxa" w:w="120"/>
              <w:bottom w:type="dxa" w:w="12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20 Stunden</w:t>
            </w:r>
          </w:p>
        </w:tc>
      </w:tr>
    </w:tbl>
    <w:p>
      <w:r>
        <w:rPr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800"/>
        <w:gridCol w:w="2560"/>
      </w:tblGrid>
      <w:tr>
        <w:tc>
          <w:tcPr>
            <w:tcW w:type="dxa" w:w="6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100"/>
              <w:left w:type="dxa" w:w="180"/>
              <w:bottom w:type="dxa" w:w="100"/>
              <w:right w:type="dxa" w:w="12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M5 · Monte Carlo Methoden</w:t>
            </w:r>
          </w:p>
          <w:p>
            <w:r>
              <w:rPr>
                <w:rFonts w:ascii="Arial" w:cs="Arial" w:eastAsia="Arial" w:hAnsi="Arial"/>
                <w:i/>
                <w:iCs/>
                <w:color w:val="555555"/>
                <w:sz w:val="20"/>
                <w:szCs w:val="20"/>
              </w:rPr>
              <w:t xml:space="preserve">First-visit / every-visit MC-Schätzung, MC-Kontrolle (ε-greedy), Off-policy MC, Importance Sampling und seine Varianz</w:t>
            </w:r>
          </w:p>
        </w:tc>
        <w:tc>
          <w:tcPr>
            <w:tcW w:type="dxa" w:w="2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8F8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F6E56"/>
                <w:sz w:val="22"/>
                <w:szCs w:val="22"/>
              </w:rPr>
              <w:t xml:space="preserve">4 h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800"/>
        <w:gridCol w:w="2560"/>
      </w:tblGrid>
      <w:tr>
        <w:tc>
          <w:tcPr>
            <w:tcW w:type="dxa" w:w="6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100"/>
              <w:left w:type="dxa" w:w="180"/>
              <w:bottom w:type="dxa" w:w="100"/>
              <w:right w:type="dxa" w:w="12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M6 · Temporal Difference Learning</w:t>
            </w:r>
          </w:p>
          <w:p>
            <w:r>
              <w:rPr>
                <w:rFonts w:ascii="Arial" w:cs="Arial" w:eastAsia="Arial" w:hAnsi="Arial"/>
                <w:i/>
                <w:iCs/>
                <w:color w:val="555555"/>
                <w:sz w:val="20"/>
                <w:szCs w:val="20"/>
              </w:rPr>
              <w:t xml:space="preserve">TD(0)-Algorithmus, TD-Fehler δ, Eligibility Traces, TD(λ), Vorwärts- vs. Rückwärtsansicht</w:t>
            </w:r>
          </w:p>
        </w:tc>
        <w:tc>
          <w:tcPr>
            <w:tcW w:type="dxa" w:w="2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8F8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F6E56"/>
                <w:sz w:val="22"/>
                <w:szCs w:val="22"/>
              </w:rPr>
              <w:t xml:space="preserve">4 h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800"/>
        <w:gridCol w:w="2560"/>
      </w:tblGrid>
      <w:tr>
        <w:tc>
          <w:tcPr>
            <w:tcW w:type="dxa" w:w="6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100"/>
              <w:left w:type="dxa" w:w="180"/>
              <w:bottom w:type="dxa" w:w="100"/>
              <w:right w:type="dxa" w:w="12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M7 · SARSA &amp; Q-Learning</w:t>
            </w:r>
          </w:p>
          <w:p>
            <w:r>
              <w:rPr>
                <w:rFonts w:ascii="Arial" w:cs="Arial" w:eastAsia="Arial" w:hAnsi="Arial"/>
                <w:i/>
                <w:iCs/>
                <w:color w:val="555555"/>
                <w:sz w:val="20"/>
                <w:szCs w:val="20"/>
              </w:rPr>
              <w:t xml:space="preserve">On-policy SARSA vs. Off-policy Q-Learning, Konvergenzbedingungen, tabellarisch vs. FA, Deadly Triad (DL+RL+Off-policy)</w:t>
            </w:r>
          </w:p>
        </w:tc>
        <w:tc>
          <w:tcPr>
            <w:tcW w:type="dxa" w:w="2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8F8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F6E56"/>
                <w:sz w:val="22"/>
                <w:szCs w:val="22"/>
              </w:rPr>
              <w:t xml:space="preserve">4 h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800"/>
        <w:gridCol w:w="2560"/>
      </w:tblGrid>
      <w:tr>
        <w:tc>
          <w:tcPr>
            <w:tcW w:type="dxa" w:w="6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100"/>
              <w:left w:type="dxa" w:w="180"/>
              <w:bottom w:type="dxa" w:w="100"/>
              <w:right w:type="dxa" w:w="12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M8 · Funktionsapproximation</w:t>
            </w:r>
          </w:p>
          <w:p>
            <w:r>
              <w:rPr>
                <w:rFonts w:ascii="Arial" w:cs="Arial" w:eastAsia="Arial" w:hAnsi="Arial"/>
                <w:i/>
                <w:iCs/>
                <w:color w:val="555555"/>
                <w:sz w:val="20"/>
                <w:szCs w:val="20"/>
              </w:rPr>
              <w:t xml:space="preserve">Lineare Funktionsapproximation, Tile Coding, Radiale Basisfunktionen, Semi-Gradient-Methoden, Stabilitätsprobleme</w:t>
            </w:r>
          </w:p>
        </w:tc>
        <w:tc>
          <w:tcPr>
            <w:tcW w:type="dxa" w:w="2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8F8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F6E56"/>
                <w:sz w:val="22"/>
                <w:szCs w:val="22"/>
              </w:rPr>
              <w:t xml:space="preserve">4 h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800"/>
        <w:gridCol w:w="2560"/>
      </w:tblGrid>
      <w:tr>
        <w:tc>
          <w:tcPr>
            <w:tcW w:type="dxa" w:w="6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100"/>
              <w:left w:type="dxa" w:w="180"/>
              <w:bottom w:type="dxa" w:w="100"/>
              <w:right w:type="dxa" w:w="12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M9 · Policy Gradient Grundlagen</w:t>
            </w:r>
          </w:p>
          <w:p>
            <w:r>
              <w:rPr>
                <w:rFonts w:ascii="Arial" w:cs="Arial" w:eastAsia="Arial" w:hAnsi="Arial"/>
                <w:i/>
                <w:iCs/>
                <w:color w:val="555555"/>
                <w:sz w:val="20"/>
                <w:szCs w:val="20"/>
              </w:rPr>
              <w:t xml:space="preserve">REINFORCE-Algorithmus, Policy Gradient Theorem, Baseline-Reduktion, einfaches Actor-Critic, Varianzreduktion</w:t>
            </w:r>
          </w:p>
        </w:tc>
        <w:tc>
          <w:tcPr>
            <w:tcW w:type="dxa" w:w="2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8F8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F6E56"/>
                <w:sz w:val="22"/>
                <w:szCs w:val="22"/>
              </w:rPr>
              <w:t xml:space="preserve">4 h</w:t>
            </w:r>
          </w:p>
        </w:tc>
      </w:tr>
    </w:tbl>
    <w:p>
      <w:r>
        <w:rPr>
          <w:sz w:val="22"/>
          <w:szCs w:val="22"/>
        </w:rPr>
        <w:t xml:space="preserve"/>
      </w:r>
    </w:p>
    <w:p>
      <w:r>
        <w:rPr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200"/>
        <w:gridCol w:w="2160"/>
      </w:tblGrid>
      <w:tr>
        <w:tc>
          <w:tcPr>
            <w:tcW w:type="dxa" w:w="7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EF0FF" w:val="clear"/>
            <w:tcMar>
              <w:top w:type="dxa" w:w="120"/>
              <w:left w:type="dxa" w:w="180"/>
              <w:bottom w:type="dxa" w:w="12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993C1D"/>
                <w:sz w:val="24"/>
                <w:szCs w:val="24"/>
              </w:rPr>
              <w:t xml:space="preserve">Phase 3  </w:t>
            </w:r>
            <w:r>
              <w:rPr>
                <w:rFonts w:ascii="Arial" w:cs="Arial" w:eastAsia="Arial" w:hAnsi="Arial"/>
                <w:b/>
                <w:bCs/>
                <w:color w:val="111111"/>
                <w:sz w:val="24"/>
                <w:szCs w:val="24"/>
              </w:rPr>
              <w:t xml:space="preserve">Deep Reinforcement Learning</w:t>
            </w:r>
          </w:p>
        </w:tc>
        <w:tc>
          <w:tcPr>
            <w:tcW w:type="dxa" w:w="2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993C1D" w:val="clear"/>
            <w:tcMar>
              <w:top w:type="dxa" w:w="120"/>
              <w:left w:type="dxa" w:w="120"/>
              <w:bottom w:type="dxa" w:w="12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18 Stunden</w:t>
            </w:r>
          </w:p>
        </w:tc>
      </w:tr>
    </w:tbl>
    <w:p>
      <w:r>
        <w:rPr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800"/>
        <w:gridCol w:w="2560"/>
      </w:tblGrid>
      <w:tr>
        <w:tc>
          <w:tcPr>
            <w:tcW w:type="dxa" w:w="6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100"/>
              <w:left w:type="dxa" w:w="180"/>
              <w:bottom w:type="dxa" w:w="100"/>
              <w:right w:type="dxa" w:w="12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M10 · DQN &amp; Varianten</w:t>
            </w:r>
          </w:p>
          <w:p>
            <w:r>
              <w:rPr>
                <w:rFonts w:ascii="Arial" w:cs="Arial" w:eastAsia="Arial" w:hAnsi="Arial"/>
                <w:i/>
                <w:iCs/>
                <w:color w:val="555555"/>
                <w:sz w:val="20"/>
                <w:szCs w:val="20"/>
              </w:rPr>
              <w:t xml:space="preserve">Experience Replay Buffer, Target Network, Double DQN, Dueling DQN, Prioritized Experience Replay (PER), Rainbow</w:t>
            </w:r>
          </w:p>
        </w:tc>
        <w:tc>
          <w:tcPr>
            <w:tcW w:type="dxa" w:w="2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8F8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93C1D"/>
                <w:sz w:val="22"/>
                <w:szCs w:val="22"/>
              </w:rPr>
              <w:t xml:space="preserve">4 h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800"/>
        <w:gridCol w:w="2560"/>
      </w:tblGrid>
      <w:tr>
        <w:tc>
          <w:tcPr>
            <w:tcW w:type="dxa" w:w="6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100"/>
              <w:left w:type="dxa" w:w="180"/>
              <w:bottom w:type="dxa" w:w="100"/>
              <w:right w:type="dxa" w:w="12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M11 · Policy Gradient (Deep)</w:t>
            </w:r>
          </w:p>
          <w:p>
            <w:r>
              <w:rPr>
                <w:rFonts w:ascii="Arial" w:cs="Arial" w:eastAsia="Arial" w:hAnsi="Arial"/>
                <w:i/>
                <w:iCs/>
                <w:color w:val="555555"/>
                <w:sz w:val="20"/>
                <w:szCs w:val="20"/>
              </w:rPr>
              <w:t xml:space="preserve">Advantage Actor-Critic (A2C), Asynchronous A3C, asynchrones Training, Advantage-Funktion, Generalized Advantage Estimation (GAE)</w:t>
            </w:r>
          </w:p>
        </w:tc>
        <w:tc>
          <w:tcPr>
            <w:tcW w:type="dxa" w:w="2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8F8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93C1D"/>
                <w:sz w:val="22"/>
                <w:szCs w:val="22"/>
              </w:rPr>
              <w:t xml:space="preserve">4 h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800"/>
        <w:gridCol w:w="2560"/>
      </w:tblGrid>
      <w:tr>
        <w:tc>
          <w:tcPr>
            <w:tcW w:type="dxa" w:w="6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100"/>
              <w:left w:type="dxa" w:w="180"/>
              <w:bottom w:type="dxa" w:w="100"/>
              <w:right w:type="dxa" w:w="12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M12 · PPO &amp; TRPO</w:t>
            </w:r>
          </w:p>
          <w:p>
            <w:r>
              <w:rPr>
                <w:rFonts w:ascii="Arial" w:cs="Arial" w:eastAsia="Arial" w:hAnsi="Arial"/>
                <w:i/>
                <w:iCs/>
                <w:color w:val="555555"/>
                <w:sz w:val="20"/>
                <w:szCs w:val="20"/>
              </w:rPr>
              <w:t xml:space="preserve">Trust Region Policy Optimization, KL-Constraint, PPO-Clip-Mechanismus, Entropy-Regularisierung, Hyperparameter-Tuning</w:t>
            </w:r>
          </w:p>
        </w:tc>
        <w:tc>
          <w:tcPr>
            <w:tcW w:type="dxa" w:w="2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8F8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93C1D"/>
                <w:sz w:val="22"/>
                <w:szCs w:val="22"/>
              </w:rPr>
              <w:t xml:space="preserve">4 h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800"/>
        <w:gridCol w:w="2560"/>
      </w:tblGrid>
      <w:tr>
        <w:tc>
          <w:tcPr>
            <w:tcW w:type="dxa" w:w="6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100"/>
              <w:left w:type="dxa" w:w="180"/>
              <w:bottom w:type="dxa" w:w="100"/>
              <w:right w:type="dxa" w:w="12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M13 · Model-Based RL</w:t>
            </w:r>
          </w:p>
          <w:p>
            <w:r>
              <w:rPr>
                <w:rFonts w:ascii="Arial" w:cs="Arial" w:eastAsia="Arial" w:hAnsi="Arial"/>
                <w:i/>
                <w:iCs/>
                <w:color w:val="555555"/>
                <w:sz w:val="20"/>
                <w:szCs w:val="20"/>
              </w:rPr>
              <w:t xml:space="preserve">World Models, Dyna-Architektur, MuZero, Dreamer V1/V2/V3, MBPO, Planungsverfahren (MCTS, CEM)</w:t>
            </w:r>
          </w:p>
        </w:tc>
        <w:tc>
          <w:tcPr>
            <w:tcW w:type="dxa" w:w="2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8F8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93C1D"/>
                <w:sz w:val="22"/>
                <w:szCs w:val="22"/>
              </w:rPr>
              <w:t xml:space="preserve">3 h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800"/>
        <w:gridCol w:w="2560"/>
      </w:tblGrid>
      <w:tr>
        <w:tc>
          <w:tcPr>
            <w:tcW w:type="dxa" w:w="6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100"/>
              <w:left w:type="dxa" w:w="180"/>
              <w:bottom w:type="dxa" w:w="100"/>
              <w:right w:type="dxa" w:w="12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M14 · Explorationsstrategien</w:t>
            </w:r>
          </w:p>
          <w:p>
            <w:r>
              <w:rPr>
                <w:rFonts w:ascii="Arial" w:cs="Arial" w:eastAsia="Arial" w:hAnsi="Arial"/>
                <w:i/>
                <w:iCs/>
                <w:color w:val="555555"/>
                <w:sz w:val="20"/>
                <w:szCs w:val="20"/>
              </w:rPr>
              <w:t xml:space="preserve">ε-Greedy und Annihilierung, UCB, Thompson Sampling, Curiosity (ICM), Random Network Distillation (RND), Count-based Exploration</w:t>
            </w:r>
          </w:p>
        </w:tc>
        <w:tc>
          <w:tcPr>
            <w:tcW w:type="dxa" w:w="2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8F8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93C1D"/>
                <w:sz w:val="22"/>
                <w:szCs w:val="22"/>
              </w:rPr>
              <w:t xml:space="preserve">3 h</w:t>
            </w:r>
          </w:p>
        </w:tc>
      </w:tr>
    </w:tbl>
    <w:p>
      <w:r>
        <w:rPr>
          <w:sz w:val="22"/>
          <w:szCs w:val="22"/>
        </w:rPr>
        <w:t xml:space="preserve"/>
      </w:r>
    </w:p>
    <w:p>
      <w:r>
        <w:rPr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200"/>
        <w:gridCol w:w="2160"/>
      </w:tblGrid>
      <w:tr>
        <w:tc>
          <w:tcPr>
            <w:tcW w:type="dxa" w:w="7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EF0FF" w:val="clear"/>
            <w:tcMar>
              <w:top w:type="dxa" w:w="120"/>
              <w:left w:type="dxa" w:w="180"/>
              <w:bottom w:type="dxa" w:w="12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85FA5"/>
                <w:sz w:val="24"/>
                <w:szCs w:val="24"/>
              </w:rPr>
              <w:t xml:space="preserve">Phase 4  </w:t>
            </w:r>
            <w:r>
              <w:rPr>
                <w:rFonts w:ascii="Arial" w:cs="Arial" w:eastAsia="Arial" w:hAnsi="Arial"/>
                <w:b/>
                <w:bCs/>
                <w:color w:val="111111"/>
                <w:sz w:val="24"/>
                <w:szCs w:val="24"/>
              </w:rPr>
              <w:t xml:space="preserve">Multi-Agent Reinforcement Learning</w:t>
            </w:r>
          </w:p>
        </w:tc>
        <w:tc>
          <w:tcPr>
            <w:tcW w:type="dxa" w:w="2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85FA5" w:val="clear"/>
            <w:tcMar>
              <w:top w:type="dxa" w:w="120"/>
              <w:left w:type="dxa" w:w="120"/>
              <w:bottom w:type="dxa" w:w="12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14 Stunden</w:t>
            </w:r>
          </w:p>
        </w:tc>
      </w:tr>
    </w:tbl>
    <w:p>
      <w:r>
        <w:rPr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800"/>
        <w:gridCol w:w="2560"/>
      </w:tblGrid>
      <w:tr>
        <w:tc>
          <w:tcPr>
            <w:tcW w:type="dxa" w:w="6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100"/>
              <w:left w:type="dxa" w:w="180"/>
              <w:bottom w:type="dxa" w:w="100"/>
              <w:right w:type="dxa" w:w="12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M15 · MARL Grundlagen</w:t>
            </w:r>
          </w:p>
          <w:p>
            <w:r>
              <w:rPr>
                <w:rFonts w:ascii="Arial" w:cs="Arial" w:eastAsia="Arial" w:hAnsi="Arial"/>
                <w:i/>
                <w:iCs/>
                <w:color w:val="555555"/>
                <w:sz w:val="20"/>
                <w:szCs w:val="20"/>
              </w:rPr>
              <w:t xml:space="preserve">Stochastic Games / Markov Games, Nash-Gleichgewicht, Cooperative vs. Competitive vs. Mixed Settings, Nicht-Stationarität, Skalierbarkeit</w:t>
            </w:r>
          </w:p>
        </w:tc>
        <w:tc>
          <w:tcPr>
            <w:tcW w:type="dxa" w:w="2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8F8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85FA5"/>
                <w:sz w:val="22"/>
                <w:szCs w:val="22"/>
              </w:rPr>
              <w:t xml:space="preserve">4 h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800"/>
        <w:gridCol w:w="2560"/>
      </w:tblGrid>
      <w:tr>
        <w:tc>
          <w:tcPr>
            <w:tcW w:type="dxa" w:w="6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100"/>
              <w:left w:type="dxa" w:w="180"/>
              <w:bottom w:type="dxa" w:w="100"/>
              <w:right w:type="dxa" w:w="12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M16 · Cooperative MARL</w:t>
            </w:r>
          </w:p>
          <w:p>
            <w:r>
              <w:rPr>
                <w:rFonts w:ascii="Arial" w:cs="Arial" w:eastAsia="Arial" w:hAnsi="Arial"/>
                <w:i/>
                <w:iCs/>
                <w:color w:val="555555"/>
                <w:sz w:val="20"/>
                <w:szCs w:val="20"/>
              </w:rPr>
              <w:t xml:space="preserve">Centralized Training with Decentralized Execution (CTDE), QMIX, MADDPG, Kommunikationsarchitekturen, Credit-Assignment-Problem</w:t>
            </w:r>
          </w:p>
        </w:tc>
        <w:tc>
          <w:tcPr>
            <w:tcW w:type="dxa" w:w="2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8F8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85FA5"/>
                <w:sz w:val="22"/>
                <w:szCs w:val="22"/>
              </w:rPr>
              <w:t xml:space="preserve">4 h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800"/>
        <w:gridCol w:w="2560"/>
      </w:tblGrid>
      <w:tr>
        <w:tc>
          <w:tcPr>
            <w:tcW w:type="dxa" w:w="6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100"/>
              <w:left w:type="dxa" w:w="180"/>
              <w:bottom w:type="dxa" w:w="100"/>
              <w:right w:type="dxa" w:w="12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M17 · Competitive MARL &amp; Self-Play</w:t>
            </w:r>
          </w:p>
          <w:p>
            <w:r>
              <w:rPr>
                <w:rFonts w:ascii="Arial" w:cs="Arial" w:eastAsia="Arial" w:hAnsi="Arial"/>
                <w:i/>
                <w:iCs/>
                <w:color w:val="555555"/>
                <w:sz w:val="20"/>
                <w:szCs w:val="20"/>
              </w:rPr>
              <w:t xml:space="preserve">AlphaGo / AlphaZero / MuZero, OpenAI Five, Population-Based Training (PBT), League-Training, Exploitability</w:t>
            </w:r>
          </w:p>
        </w:tc>
        <w:tc>
          <w:tcPr>
            <w:tcW w:type="dxa" w:w="2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8F8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85FA5"/>
                <w:sz w:val="22"/>
                <w:szCs w:val="22"/>
              </w:rPr>
              <w:t xml:space="preserve">3 h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800"/>
        <w:gridCol w:w="2560"/>
      </w:tblGrid>
      <w:tr>
        <w:tc>
          <w:tcPr>
            <w:tcW w:type="dxa" w:w="6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100"/>
              <w:left w:type="dxa" w:w="180"/>
              <w:bottom w:type="dxa" w:w="100"/>
              <w:right w:type="dxa" w:w="12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M18 · Emergentes Verhalten &amp; Skalierung</w:t>
            </w:r>
          </w:p>
          <w:p>
            <w:r>
              <w:rPr>
                <w:rFonts w:ascii="Arial" w:cs="Arial" w:eastAsia="Arial" w:hAnsi="Arial"/>
                <w:i/>
                <w:iCs/>
                <w:color w:val="555555"/>
                <w:sz w:val="20"/>
                <w:szCs w:val="20"/>
              </w:rPr>
              <w:t xml:space="preserve">Emergente Kommunikationsprotokolle, emergente Koordination, skalierbare MARL-Algorithmen, MAPPO, HAPPO</w:t>
            </w:r>
          </w:p>
        </w:tc>
        <w:tc>
          <w:tcPr>
            <w:tcW w:type="dxa" w:w="2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8F8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85FA5"/>
                <w:sz w:val="22"/>
                <w:szCs w:val="22"/>
              </w:rPr>
              <w:t xml:space="preserve">3 h</w:t>
            </w:r>
          </w:p>
        </w:tc>
      </w:tr>
    </w:tbl>
    <w:p>
      <w:r>
        <w:rPr>
          <w:sz w:val="22"/>
          <w:szCs w:val="22"/>
        </w:rPr>
        <w:t xml:space="preserve"/>
      </w:r>
    </w:p>
    <w:p>
      <w:r>
        <w:rPr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200"/>
        <w:gridCol w:w="2160"/>
      </w:tblGrid>
      <w:tr>
        <w:tc>
          <w:tcPr>
            <w:tcW w:type="dxa" w:w="7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EF0FF" w:val="clear"/>
            <w:tcMar>
              <w:top w:type="dxa" w:w="120"/>
              <w:left w:type="dxa" w:w="180"/>
              <w:bottom w:type="dxa" w:w="12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854F0B"/>
                <w:sz w:val="24"/>
                <w:szCs w:val="24"/>
              </w:rPr>
              <w:t xml:space="preserve">Phase 5  </w:t>
            </w:r>
            <w:r>
              <w:rPr>
                <w:rFonts w:ascii="Arial" w:cs="Arial" w:eastAsia="Arial" w:hAnsi="Arial"/>
                <w:b/>
                <w:bCs/>
                <w:color w:val="111111"/>
                <w:sz w:val="24"/>
                <w:szCs w:val="24"/>
              </w:rPr>
              <w:t xml:space="preserve">RL in der Praxis</w:t>
            </w:r>
          </w:p>
        </w:tc>
        <w:tc>
          <w:tcPr>
            <w:tcW w:type="dxa" w:w="2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854F0B" w:val="clear"/>
            <w:tcMar>
              <w:top w:type="dxa" w:w="120"/>
              <w:left w:type="dxa" w:w="120"/>
              <w:bottom w:type="dxa" w:w="12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14 Stunden</w:t>
            </w:r>
          </w:p>
        </w:tc>
      </w:tr>
    </w:tbl>
    <w:p>
      <w:r>
        <w:rPr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800"/>
        <w:gridCol w:w="2560"/>
      </w:tblGrid>
      <w:tr>
        <w:tc>
          <w:tcPr>
            <w:tcW w:type="dxa" w:w="6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100"/>
              <w:left w:type="dxa" w:w="180"/>
              <w:bottom w:type="dxa" w:w="100"/>
              <w:right w:type="dxa" w:w="12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M19 · RL für Games &amp; Simulationen</w:t>
            </w:r>
          </w:p>
          <w:p>
            <w:r>
              <w:rPr>
                <w:rFonts w:ascii="Arial" w:cs="Arial" w:eastAsia="Arial" w:hAnsi="Arial"/>
                <w:i/>
                <w:iCs/>
                <w:color w:val="555555"/>
                <w:sz w:val="20"/>
                <w:szCs w:val="20"/>
              </w:rPr>
              <w:t xml:space="preserve">Atari Benchmark, MuJoCo-Umgebungen, OpenAI Gymnasium, Reward Shaping, Curriculum Learning, Sparse Rewards</w:t>
            </w:r>
          </w:p>
        </w:tc>
        <w:tc>
          <w:tcPr>
            <w:tcW w:type="dxa" w:w="2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8F8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854F0B"/>
                <w:sz w:val="22"/>
                <w:szCs w:val="22"/>
              </w:rPr>
              <w:t xml:space="preserve">3 h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800"/>
        <w:gridCol w:w="2560"/>
      </w:tblGrid>
      <w:tr>
        <w:tc>
          <w:tcPr>
            <w:tcW w:type="dxa" w:w="6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100"/>
              <w:left w:type="dxa" w:w="180"/>
              <w:bottom w:type="dxa" w:w="100"/>
              <w:right w:type="dxa" w:w="12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M20 · RL für Robotik</w:t>
            </w:r>
          </w:p>
          <w:p>
            <w:r>
              <w:rPr>
                <w:rFonts w:ascii="Arial" w:cs="Arial" w:eastAsia="Arial" w:hAnsi="Arial"/>
                <w:i/>
                <w:iCs/>
                <w:color w:val="555555"/>
                <w:sz w:val="20"/>
                <w:szCs w:val="20"/>
              </w:rPr>
              <w:t xml:space="preserve">Sim-to-Real Transfer, Domain Randomization, Safe RL, Constrained MDPs (CMDPs), Cost-Constraint-Algorithmen (CPO, FOCOPS)</w:t>
            </w:r>
          </w:p>
        </w:tc>
        <w:tc>
          <w:tcPr>
            <w:tcW w:type="dxa" w:w="2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8F8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854F0B"/>
                <w:sz w:val="22"/>
                <w:szCs w:val="22"/>
              </w:rPr>
              <w:t xml:space="preserve">3 h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800"/>
        <w:gridCol w:w="2560"/>
      </w:tblGrid>
      <w:tr>
        <w:tc>
          <w:tcPr>
            <w:tcW w:type="dxa" w:w="6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100"/>
              <w:left w:type="dxa" w:w="180"/>
              <w:bottom w:type="dxa" w:w="100"/>
              <w:right w:type="dxa" w:w="12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M21 · RLHF &amp; Large Language Models</w:t>
            </w:r>
          </w:p>
          <w:p>
            <w:r>
              <w:rPr>
                <w:rFonts w:ascii="Arial" w:cs="Arial" w:eastAsia="Arial" w:hAnsi="Arial"/>
                <w:i/>
                <w:iCs/>
                <w:color w:val="555555"/>
                <w:sz w:val="20"/>
                <w:szCs w:val="20"/>
              </w:rPr>
              <w:t xml:space="preserve">Reward Modelling aus menschlichem Feedback, PPO für LLMs, Direct Preference Optimization (DPO), Constitutional AI, AI Alignment</w:t>
            </w:r>
          </w:p>
        </w:tc>
        <w:tc>
          <w:tcPr>
            <w:tcW w:type="dxa" w:w="2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8F8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854F0B"/>
                <w:sz w:val="22"/>
                <w:szCs w:val="22"/>
              </w:rPr>
              <w:t xml:space="preserve">4 h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800"/>
        <w:gridCol w:w="2560"/>
      </w:tblGrid>
      <w:tr>
        <w:tc>
          <w:tcPr>
            <w:tcW w:type="dxa" w:w="6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100"/>
              <w:left w:type="dxa" w:w="180"/>
              <w:bottom w:type="dxa" w:w="100"/>
              <w:right w:type="dxa" w:w="12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M22 · Abschlussprojekt &amp; Best Practices</w:t>
            </w:r>
          </w:p>
          <w:p>
            <w:r>
              <w:rPr>
                <w:rFonts w:ascii="Arial" w:cs="Arial" w:eastAsia="Arial" w:hAnsi="Arial"/>
                <w:i/>
                <w:iCs/>
                <w:color w:val="555555"/>
                <w:sz w:val="20"/>
                <w:szCs w:val="20"/>
              </w:rPr>
              <w:t xml:space="preserve">Debugging und Evaluation von RL-Agenten, Hyperparameter-Tuning (Optuna, W&amp;B), Benchmarking, Projektpräsentationen</w:t>
            </w:r>
          </w:p>
        </w:tc>
        <w:tc>
          <w:tcPr>
            <w:tcW w:type="dxa" w:w="2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8F8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854F0B"/>
                <w:sz w:val="22"/>
                <w:szCs w:val="22"/>
              </w:rPr>
              <w:t xml:space="preserve">4 h</w:t>
            </w:r>
          </w:p>
        </w:tc>
      </w:tr>
    </w:tbl>
    <w:p>
      <w:r>
        <w:rPr>
          <w:sz w:val="22"/>
          <w:szCs w:val="22"/>
        </w:rPr>
        <w:t xml:space="preserve"/>
      </w:r>
    </w:p>
    <w:p>
      <w:r>
        <w:rPr>
          <w:sz w:val="22"/>
          <w:szCs w:val="22"/>
        </w:rPr>
        <w:t xml:space="preserve"/>
      </w:r>
    </w:p>
    <w:p>
      <w:pPr>
        <w:pStyle w:val="Heading1"/>
        <w:spacing w:before="360" w:after="120"/>
      </w:pPr>
      <w:r>
        <w:rPr>
          <w:rFonts w:ascii="Arial" w:cs="Arial" w:eastAsia="Arial" w:hAnsi="Arial"/>
          <w:b/>
          <w:bCs/>
          <w:color w:val="534AB7"/>
          <w:sz w:val="32"/>
          <w:szCs w:val="32"/>
        </w:rPr>
        <w:t xml:space="preserve">Empfohlene Ressourcen</w:t>
      </w: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222222"/>
          <w:sz w:val="26"/>
          <w:szCs w:val="26"/>
        </w:rPr>
        <w:t xml:space="preserve">Lehrbücher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Sutton &amp; Barto: Reinforcement Learning: An Introduction (2nd ed., 2018) – Das Standardwerk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Bertsekas: Dynamic Programming and Optimal Control – Mathematisch fundiert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Szepesvári: Algorithms for Reinforcement Learning – Kompakter Überblick</w:t>
      </w:r>
    </w:p>
    <w:p>
      <w:r>
        <w:rPr>
          <w:sz w:val="22"/>
          <w:szCs w:val="22"/>
        </w:rPr>
        <w:t xml:space="preserve"/>
      </w: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222222"/>
          <w:sz w:val="26"/>
          <w:szCs w:val="26"/>
        </w:rPr>
        <w:t xml:space="preserve">Online-Kurse &amp; Vorlesungen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David Silver (DeepMind): RL Course – UCL/YouTube (Phase 1–2)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Sergey Levine (UC Berkeley): CS285 Deep RL – YouTube (Phase 3–4)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Hugging Face: Deep RL Course – Hands-on mit Gymnasium (Phase 5)</w:t>
      </w:r>
    </w:p>
    <w:p>
      <w:r>
        <w:rPr>
          <w:sz w:val="22"/>
          <w:szCs w:val="22"/>
        </w:rPr>
        <w:t xml:space="preserve"/>
      </w: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222222"/>
          <w:sz w:val="26"/>
          <w:szCs w:val="26"/>
        </w:rPr>
        <w:t xml:space="preserve">Bibliotheken &amp; Frameworks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3760"/>
        <w:gridCol w:w="3000"/>
      </w:tblGrid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Bibliothek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Beschreibung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Phase</w:t>
            </w:r>
          </w:p>
        </w:tc>
      </w:tr>
      <w:tr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534AB7"/>
                <w:sz w:val="20"/>
                <w:szCs w:val="20"/>
              </w:rPr>
              <w:t xml:space="preserve">OpenAI Gymnasium</w:t>
            </w:r>
          </w:p>
        </w:tc>
        <w:tc>
          <w:tcPr>
            <w:tcW w:type="dxa" w:w="3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Standard-RL-Umgebungen (Atari, MuJoCo, etc.)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Alle Phasen</w:t>
            </w:r>
          </w:p>
        </w:tc>
      </w:tr>
      <w:tr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534AB7"/>
                <w:sz w:val="20"/>
                <w:szCs w:val="20"/>
              </w:rPr>
              <w:t xml:space="preserve">Stable-Baselines3</w:t>
            </w:r>
          </w:p>
        </w:tc>
        <w:tc>
          <w:tcPr>
            <w:tcW w:type="dxa" w:w="3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Referenzimplementierungen (DQN, PPO, SAC)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Phase 3–5</w:t>
            </w:r>
          </w:p>
        </w:tc>
      </w:tr>
      <w:tr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534AB7"/>
                <w:sz w:val="20"/>
                <w:szCs w:val="20"/>
              </w:rPr>
              <w:t xml:space="preserve">RLlib (Ray)</w:t>
            </w:r>
          </w:p>
        </w:tc>
        <w:tc>
          <w:tcPr>
            <w:tcW w:type="dxa" w:w="3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Skalierbare MARL &amp; Distributed RL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Phase 3–4</w:t>
            </w:r>
          </w:p>
        </w:tc>
      </w:tr>
      <w:tr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534AB7"/>
                <w:sz w:val="20"/>
                <w:szCs w:val="20"/>
              </w:rPr>
              <w:t xml:space="preserve">CleanRL</w:t>
            </w:r>
          </w:p>
        </w:tc>
        <w:tc>
          <w:tcPr>
            <w:tcW w:type="dxa" w:w="3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Einfache, lesbare Deep-RL-Implementierungen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Phase 3</w:t>
            </w:r>
          </w:p>
        </w:tc>
      </w:tr>
      <w:tr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534AB7"/>
                <w:sz w:val="20"/>
                <w:szCs w:val="20"/>
              </w:rPr>
              <w:t xml:space="preserve">PettingZoo</w:t>
            </w:r>
          </w:p>
        </w:tc>
        <w:tc>
          <w:tcPr>
            <w:tcW w:type="dxa" w:w="3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Multi-Agent-Umgebungen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Phase 4</w:t>
            </w:r>
          </w:p>
        </w:tc>
      </w:tr>
    </w:tbl>
    <w:p>
      <w:r>
        <w:rPr>
          <w:sz w:val="22"/>
          <w:szCs w:val="22"/>
        </w:rPr>
        <w:t xml:space="preserve"/>
      </w:r>
    </w:p>
    <w:p>
      <w:r>
        <w:rPr>
          <w:sz w:val="22"/>
          <w:szCs w:val="22"/>
        </w:rPr>
        <w:t xml:space="preserve"/>
      </w:r>
    </w:p>
    <w:p>
      <w:pPr>
        <w:pStyle w:val="Heading1"/>
        <w:spacing w:before="360" w:after="120"/>
      </w:pPr>
      <w:r>
        <w:rPr>
          <w:rFonts w:ascii="Arial" w:cs="Arial" w:eastAsia="Arial" w:hAnsi="Arial"/>
          <w:b/>
          <w:bCs/>
          <w:color w:val="534AB7"/>
          <w:sz w:val="32"/>
          <w:szCs w:val="32"/>
        </w:rPr>
        <w:t xml:space="preserve">Didaktische Hinweise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Jede Phase beginnt mit einer Wiederholung der Vorkenntnisse (ca. 15 min) und endet mit einem kurzen Quiz.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Jedes Modul enthält mindestens ein Programmierbeispiel in Python (PyTorch). Empfohlen wird Google Colab oder eine lokale Conda-Umgebung.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Die Phasen 3–5 setzen voraus, dass Phase 1–2 vollständig verstanden wurde. Bei heterogenen Gruppen Phase 1 ausweiten.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Phase 5 (Praxis) sollte möglichst projektbasiert unterrichtet werden. Teilnehmer wählen ein eigenes RL-Projekt aus.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Für die RLHF-Einheit (M21) empfiehlt sich ergänzendes Material zu Transformer-Architekturen, falls nicht alle Teilnehmer LLM-Erfahrung mitbringen.</w:t>
      </w:r>
    </w:p>
    <w:sectPr>
      <w:headerReference w:type="default" r:id="rId6"/>
      <w:footerReference w:type="default" r:id="rId7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534AB7" w:sz="4" w:space="1"/>
      </w:pBdr>
      <w:spacing w:before="120"/>
      <w:jc w:val="right"/>
    </w:pPr>
    <w:r>
      <w:rPr>
        <w:rFonts w:ascii="Arial" w:cs="Arial" w:eastAsia="Arial" w:hAnsi="Arial"/>
        <w:color w:val="888888"/>
        <w:sz w:val="18"/>
        <w:szCs w:val="18"/>
      </w:rPr>
      <w:t xml:space="preserve">80 Stunden  |  22 Module  |  5 Phasen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534AB7" w:sz="4" w:space="1"/>
      </w:pBdr>
      <w:spacing w:after="120"/>
    </w:pPr>
    <w:r>
      <w:rPr>
        <w:rFonts w:ascii="Arial" w:cs="Arial" w:eastAsia="Arial" w:hAnsi="Arial"/>
        <w:color w:val="666666"/>
        <w:sz w:val="18"/>
        <w:szCs w:val="18"/>
      </w:rPr>
      <w:t xml:space="preserve">Roter Faden – Reinforcement Learning Kurs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180"/>
      <w:outlineLvl w:val="0"/>
    </w:pPr>
    <w:rPr>
      <w:rFonts w:ascii="Arial" w:cs="Arial" w:eastAsia="Arial" w:hAnsi="Arial"/>
      <w:b/>
      <w:bCs/>
      <w:color w:val="534AB7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240" w:after="120"/>
      <w:outlineLvl w:val="1"/>
    </w:pPr>
    <w:rPr>
      <w:rFonts w:ascii="Arial" w:cs="Arial" w:eastAsia="Arial" w:hAnsi="Arial"/>
      <w:b/>
      <w:bCs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2026-03-15T15:43:42.220Z</dcterms:created>
  <dcterms:modified xsi:type="dcterms:W3CDTF">2026-03-15T15:43:42.220Z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