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Code Smells: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José Morgado 59457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 code smell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FreeColClient.java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contida no package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freecol</w:t>
      </w:r>
      <w:r w:rsidDel="00000000" w:rsidR="00000000" w:rsidRPr="00000000">
        <w:rPr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é um</w:t>
      </w:r>
      <w:r w:rsidDel="00000000" w:rsidR="00000000" w:rsidRPr="00000000">
        <w:rPr>
          <w:sz w:val="24"/>
          <w:szCs w:val="24"/>
          <w:rtl w:val="0"/>
        </w:rPr>
        <w:t xml:space="preserve"> método que apresenta sintomas de demasiados comentários.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bem definidos como o apresentado na fig. 1 e fig. 2 não precisam de comentários redundantes.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solução possível a este problema seria </w:t>
      </w:r>
      <w:r w:rsidDel="00000000" w:rsidR="00000000" w:rsidRPr="00000000">
        <w:rPr>
          <w:sz w:val="24"/>
          <w:szCs w:val="24"/>
          <w:rtl w:val="0"/>
        </w:rPr>
        <w:t xml:space="preserve">eliminar os comentários a funções que </w:t>
      </w:r>
      <w:r w:rsidDel="00000000" w:rsidR="00000000" w:rsidRPr="00000000">
        <w:rPr>
          <w:rtl w:val="0"/>
        </w:rPr>
        <w:t xml:space="preserve">especificam bem o seu comportamento apenas com o seu nome.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Fig. 1 - Método isLoggedIn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21249659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2 - Método Action Manager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320800"/>
            <wp:effectExtent b="0" l="0" r="0" t="0"/>
            <wp:docPr id="21249659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Magical Numbers (or Strings, in this case) code smell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analisarmos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FreeColClient.java</w:t>
      </w:r>
      <w:r w:rsidDel="00000000" w:rsidR="00000000" w:rsidRPr="00000000">
        <w:rPr>
          <w:sz w:val="24"/>
          <w:szCs w:val="24"/>
          <w:rtl w:val="0"/>
        </w:rPr>
        <w:t xml:space="preserve"> contida no package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src/net/sf/freecol/client </w:t>
      </w:r>
      <w:r w:rsidDel="00000000" w:rsidR="00000000" w:rsidRPr="00000000">
        <w:rPr>
          <w:sz w:val="24"/>
          <w:szCs w:val="24"/>
          <w:rtl w:val="0"/>
        </w:rPr>
        <w:t xml:space="preserve">verificamos que possui várias "strings mágicas," ou seja, strings literais que estão diretamente incorporadas no código-fonte e não são definidas como constantes ou enums. Essas strings mágicas são usadas em várias partes do código e podem tornar o código menos legível, mais difícil de manter e propensas a erros quando há necessidade de modificação ou tradução do software. Portanto, é uma boa prática substituir essas strings por constantes ou enums nomeadas e bem documentadas para tornar o código mais claro e manutenível.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3 - Algumas Strings mágicas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41600"/>
            <wp:effectExtent b="0" l="0" r="0" t="0"/>
            <wp:docPr id="21249659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Speculative Generality code smell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ActionManager.java contida no package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src/net/sf/freecol/client/gui/action</w:t>
      </w:r>
      <w:r w:rsidDel="00000000" w:rsidR="00000000" w:rsidRPr="00000000">
        <w:rPr>
          <w:sz w:val="24"/>
          <w:szCs w:val="24"/>
          <w:rtl w:val="0"/>
        </w:rPr>
        <w:t xml:space="preserve"> contém uma instância de código inutilizado feito aparente pelo uso de uma linha com @SuppressWarnings("unused")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adicionado com o intuito de futuramente poder logar as ações realizadas, mas nunca chegou a ser implementado.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boa prática remover variáveis não utilizadas para manter o código limpo e de fácil manutenção.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4 - Logger inútil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68300"/>
            <wp:effectExtent b="0" l="0" r="0" t="0"/>
            <wp:docPr id="21249659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42C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LQ4inZts3U1uU5joA8Uszu/2HA==">AMUW2mXSYLFfa26YETIgl1g/jOqBILlEhGDCygYk2Z6ZwEL4zMT4wdABWj3dTKW1MY3460ZTH3rErqTbgkS0wYFLmUjFVUM/OcY3bX8f//1hY3FUOfbPLck=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2023-11-08T00:59:00Z</dcterms:created>
  <dc:creator>Nadia Alexandra Rego Mendes</dc:creator>
</cp:coreProperties>
</file>