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888888"/>
          <w:sz w:val="20"/>
          <w:szCs w:val="20"/>
        </w:rPr>
        <w:t xml:space="preserve">CQUniversity Australia</w:t>
      </w:r>
    </w:p>
    <w:p>
      <w:pPr>
        <w:spacing w:after="60"/>
      </w:pPr>
      <w:r>
        <w:rPr>
          <w:rFonts w:ascii="Arial" w:cs="Arial" w:eastAsia="Arial" w:hAnsi="Arial"/>
          <w:b/>
          <w:bCs/>
          <w:color w:val="1A6E6E"/>
          <w:sz w:val="22"/>
          <w:szCs w:val="22"/>
        </w:rPr>
        <w:t xml:space="preserve">COIT20265 – Networks and Information Security</w:t>
      </w:r>
    </w:p>
    <w:p>
      <w:pPr>
        <w:spacing w:after="300"/>
      </w:pPr>
      <w:r>
        <w:rPr>
          <w:rFonts w:ascii="Arial" w:cs="Arial" w:eastAsia="Arial" w:hAnsi="Arial"/>
          <w:color w:val="888888"/>
          <w:sz w:val="20"/>
          <w:szCs w:val="20"/>
        </w:rPr>
        <w:t xml:space="preserve">Assessment 3 – Individual Reflection</w:t>
      </w:r>
    </w:p>
    <w:p>
      <w:pPr>
        <w:spacing w:after="40"/>
      </w:pPr>
      <w:r>
        <w:rPr>
          <w:rFonts w:ascii="Arial" w:cs="Arial" w:eastAsia="Arial" w:hAnsi="Arial"/>
          <w:b/>
          <w:bCs/>
          <w:color w:val="1A1A2E"/>
          <w:sz w:val="40"/>
          <w:szCs w:val="40"/>
        </w:rPr>
        <w:t xml:space="preserve">Individual Reflection Report</w:t>
      </w:r>
    </w:p>
    <w:p>
      <w:pPr>
        <w:spacing w:after="400"/>
      </w:pPr>
      <w:r>
        <w:rPr>
          <w:rFonts w:ascii="Arial" w:cs="Arial" w:eastAsia="Arial" w:hAnsi="Arial"/>
          <w:i/>
          <w:iCs/>
          <w:color w:val="1A6E6E"/>
          <w:sz w:val="26"/>
          <w:szCs w:val="26"/>
        </w:rPr>
        <w:t xml:space="preserve">LogGuard AI – NLP-Based Anomaly Detection in Cybersecurity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center"/>
          </w:tcPr>
          <w:p>
            <w:r>
              <w:rPr>
                <w:rFonts w:ascii="Arial" w:cs="Arial" w:eastAsia="Arial" w:hAnsi="Arial"/>
                <w:b/>
                <w:bCs/>
                <w:color w:val="1A6E6E"/>
                <w:sz w:val="22"/>
                <w:szCs w:val="22"/>
              </w:rPr>
              <w:t xml:space="preserve">Student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2"/>
                <w:szCs w:val="22"/>
              </w:rPr>
              <w:t xml:space="preserve">MD Yeakub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center"/>
          </w:tcPr>
          <w:p>
            <w:r>
              <w:rPr>
                <w:rFonts w:ascii="Arial" w:cs="Arial" w:eastAsia="Arial" w:hAnsi="Arial"/>
                <w:b/>
                <w:bCs/>
                <w:color w:val="1A6E6E"/>
                <w:sz w:val="22"/>
                <w:szCs w:val="22"/>
              </w:rPr>
              <w:t xml:space="preserve">Student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2"/>
                <w:szCs w:val="22"/>
              </w:rPr>
              <w:t xml:space="preserve">12289551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center"/>
          </w:tcPr>
          <w:p>
            <w:r>
              <w:rPr>
                <w:rFonts w:ascii="Arial" w:cs="Arial" w:eastAsia="Arial" w:hAnsi="Arial"/>
                <w:b/>
                <w:bCs/>
                <w:color w:val="1A6E6E"/>
                <w:sz w:val="22"/>
                <w:szCs w:val="22"/>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2"/>
                <w:szCs w:val="22"/>
              </w:rPr>
              <w:t xml:space="preserve">Data Analyst / NLP Developer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center"/>
          </w:tcPr>
          <w:p>
            <w:r>
              <w:rPr>
                <w:rFonts w:ascii="Arial" w:cs="Arial" w:eastAsia="Arial" w:hAnsi="Arial"/>
                <w:b/>
                <w:bCs/>
                <w:color w:val="1A6E6E"/>
                <w:sz w:val="22"/>
                <w:szCs w:val="22"/>
              </w:rPr>
              <w:t xml:space="preserve">Unit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2"/>
                <w:szCs w:val="22"/>
              </w:rPr>
              <w:t xml:space="preserve">COIT20265 – Networks and Information Security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center"/>
          </w:tcPr>
          <w:p>
            <w:r>
              <w:rPr>
                <w:rFonts w:ascii="Arial" w:cs="Arial" w:eastAsia="Arial" w:hAnsi="Arial"/>
                <w:b/>
                <w:bCs/>
                <w:color w:val="1A6E6E"/>
                <w:sz w:val="22"/>
                <w:szCs w:val="22"/>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2"/>
                <w:szCs w:val="22"/>
              </w:rPr>
              <w:t xml:space="preserve">LogGuard AI – An NLP-Based Prototype for Anomaly Detection in Cloud-Generated and Benchmark Cybersecurity Logs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center"/>
          </w:tcPr>
          <w:p>
            <w:r>
              <w:rPr>
                <w:rFonts w:ascii="Arial" w:cs="Arial" w:eastAsia="Arial" w:hAnsi="Arial"/>
                <w:b/>
                <w:bCs/>
                <w:color w:val="1A6E6E"/>
                <w:sz w:val="22"/>
                <w:szCs w:val="22"/>
              </w:rPr>
              <w:t xml:space="preserve">Team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2"/>
                <w:szCs w:val="22"/>
              </w:rPr>
              <w:t xml:space="preserve">Tahmid (PM), Mahin (Cloud Engineer), Nafisa Sultana (Software Engineer), Yeakub (Data Analyst)</w:t>
            </w:r>
          </w:p>
        </w:tc>
      </w:tr>
    </w:tbl>
    <w:p>
      <w:pPr>
        <w:spacing w:after="80"/>
      </w:pPr>
      <w:r>
        <w:t xml:space="preserve"/>
      </w:r>
    </w:p>
    <w:p>
      <w:pPr>
        <w:spacing w:after="400"/>
      </w:pPr>
      <w:r>
        <w:t xml:space="preserve"/>
      </w:r>
    </w:p>
    <w:p>
      <w:pPr>
        <w:pStyle w:val="Heading1"/>
      </w:pPr>
      <w:r>
        <w:rPr>
          <w:rFonts w:ascii="Arial" w:cs="Arial" w:eastAsia="Arial" w:hAnsi="Arial"/>
          <w:b/>
          <w:bCs/>
          <w:color w:val="1A6E6E"/>
          <w:sz w:val="32"/>
          <w:szCs w:val="32"/>
        </w:rPr>
        <w:t xml:space="preserve">1. Introduction</w:t>
      </w:r>
    </w:p>
    <w:p>
      <w:pPr>
        <w:spacing w:after="160"/>
        <w:jc w:val="both"/>
      </w:pPr>
      <w:r>
        <w:rPr>
          <w:rFonts w:ascii="Arial" w:cs="Arial" w:eastAsia="Arial" w:hAnsi="Arial"/>
          <w:color w:val="555555"/>
          <w:sz w:val="24"/>
          <w:szCs w:val="24"/>
        </w:rPr>
        <w:t xml:space="preserve">This individual reflection documents my personal learning journey throughout the LogGuard AI capstone project, undertaken as part of COIT20265 – Networks and Information Security at CQUniversity Australia. As the Data Analyst and NLP Developer in a four-member team, my primary responsibilities included collecting and preparing the cybersecurity log dataset, implementing and training the Random Forest and Isolation Forest models, conducting the comprehensive model evaluation, and contributing to the preprocessing pipeline design. Beyond my core role, I also supported the team in understanding AWS services, EC2, Lambda, and website development concepts. This reflection examines the knowledge I gained, the skills I developed, the challenges I encountered, and the professional growth I experienced across the full project lifecycle.</w:t>
      </w:r>
    </w:p>
    <w:p>
      <w:pPr>
        <w:pStyle w:val="Heading1"/>
      </w:pPr>
      <w:r>
        <w:rPr>
          <w:rFonts w:ascii="Arial" w:cs="Arial" w:eastAsia="Arial" w:hAnsi="Arial"/>
          <w:b/>
          <w:bCs/>
          <w:color w:val="1A6E6E"/>
          <w:sz w:val="32"/>
          <w:szCs w:val="32"/>
        </w:rPr>
        <w:t xml:space="preserve">2. Knowledge Gained Throughout the Project</w:t>
      </w:r>
    </w:p>
    <w:p>
      <w:pPr>
        <w:pStyle w:val="Heading2"/>
      </w:pPr>
      <w:r>
        <w:rPr>
          <w:rFonts w:ascii="Arial" w:cs="Arial" w:eastAsia="Arial" w:hAnsi="Arial"/>
          <w:b/>
          <w:bCs/>
          <w:color w:val="1A1A2E"/>
          <w:sz w:val="26"/>
          <w:szCs w:val="26"/>
        </w:rPr>
        <w:t xml:space="preserve">2.1 Cybersecurity and Log Analysis</w:t>
      </w:r>
    </w:p>
    <w:p>
      <w:pPr>
        <w:spacing w:after="160"/>
        <w:jc w:val="both"/>
      </w:pPr>
      <w:r>
        <w:rPr>
          <w:rFonts w:ascii="Arial" w:cs="Arial" w:eastAsia="Arial" w:hAnsi="Arial"/>
          <w:color w:val="555555"/>
          <w:sz w:val="24"/>
          <w:szCs w:val="24"/>
        </w:rPr>
        <w:t xml:space="preserve">Before this project, my understanding of cybersecurity log analysis was largely theoretical. Through the process of collecting, labelling, and analysing real-world and benchmark log data from sources such as HDFS, OpenSSH, Linux system logs, cloud_auth, and cloud_syslog, I developed a practical appreciation of how log data functions as the primary evidence trail for detecting security incidents. I learned how logs capture user authentication attempts, system events, service failures, and potential intrusion patterns – and how manual review of such data at scale is simply not feasible in a real-world cloud environment.</w:t>
      </w:r>
    </w:p>
    <w:p>
      <w:pPr>
        <w:spacing w:after="160"/>
        <w:jc w:val="both"/>
      </w:pPr>
      <w:r>
        <w:rPr>
          <w:rFonts w:ascii="Arial" w:cs="Arial" w:eastAsia="Arial" w:hAnsi="Arial"/>
          <w:color w:val="555555"/>
          <w:sz w:val="24"/>
          <w:szCs w:val="24"/>
        </w:rPr>
        <w:t xml:space="preserve">Working closely with benchmark log repositories, particularly the LogHub dataset, gave me exposure to the types of anomalies that real security analysts look for, including failed authentication attempts, invalid user access, unexpected session terminations, and unusual network traffic patterns. This grounded my understanding of the cybersecurity domain in practical, evidence-based analysis rather than abstract concepts.</w:t>
      </w:r>
    </w:p>
    <w:p>
      <w:pPr>
        <w:pStyle w:val="Heading2"/>
      </w:pPr>
      <w:r>
        <w:rPr>
          <w:rFonts w:ascii="Arial" w:cs="Arial" w:eastAsia="Arial" w:hAnsi="Arial"/>
          <w:b/>
          <w:bCs/>
          <w:color w:val="1A1A2E"/>
          <w:sz w:val="26"/>
          <w:szCs w:val="26"/>
        </w:rPr>
        <w:t xml:space="preserve">2.2 Machine Learning and NLP for Anomaly Detection</w:t>
      </w:r>
    </w:p>
    <w:p>
      <w:pPr>
        <w:spacing w:after="160"/>
        <w:jc w:val="both"/>
      </w:pPr>
      <w:r>
        <w:rPr>
          <w:rFonts w:ascii="Arial" w:cs="Arial" w:eastAsia="Arial" w:hAnsi="Arial"/>
          <w:color w:val="555555"/>
          <w:sz w:val="24"/>
          <w:szCs w:val="24"/>
        </w:rPr>
        <w:t xml:space="preserve">One of the most significant areas of knowledge I developed was in applied machine learning for NLP-based anomaly detection. I gained hands-on experience with Random Forest as a supervised learning approach and Isolation Forest as an unsupervised method. Through implementing, training, and evaluating these models, I understood not only how each algorithm functions technically, but also how the choice of learning paradigm fundamentally shapes what the model can and cannot detect.</w:t>
      </w:r>
    </w:p>
    <w:p>
      <w:pPr>
        <w:spacing w:after="160"/>
        <w:jc w:val="both"/>
      </w:pPr>
      <w:r>
        <w:rPr>
          <w:rFonts w:ascii="Arial" w:cs="Arial" w:eastAsia="Arial" w:hAnsi="Arial"/>
          <w:color w:val="555555"/>
          <w:sz w:val="24"/>
          <w:szCs w:val="24"/>
        </w:rPr>
        <w:t xml:space="preserve">I learned that supervised models like Random Forest require labelled training data and learn to classify logs based on patterns in known examples. My Random Forest model achieved an F1-score of 0.9971 and an ROC-AUC of 1.0000, demonstrating strong classification capability. However, I also came to understand a critical limitation: because the labels I applied were based on keyword matching (terms such as “failed”, “invalid”, “error”), the model may have been learning the labelling logic rather than true anomaly patterns. This is the data leakage problem I identified and documented in the final report, and acknowledging it was an important lesson in evaluating machine learning results honestly and critically.</w:t>
      </w:r>
    </w:p>
    <w:p>
      <w:pPr>
        <w:spacing w:after="160"/>
        <w:jc w:val="both"/>
      </w:pPr>
      <w:r>
        <w:rPr>
          <w:rFonts w:ascii="Arial" w:cs="Arial" w:eastAsia="Arial" w:hAnsi="Arial"/>
          <w:color w:val="555555"/>
          <w:sz w:val="24"/>
          <w:szCs w:val="24"/>
        </w:rPr>
        <w:t xml:space="preserve">In contrast, the Isolation Forest model operates without labels by isolating instances that differ significantly from the majority. Comparing both models deepened my understanding of the trade-offs between supervised and unsupervised approaches in real-world security monitoring contexts where labelled data is often unavailable.</w:t>
      </w:r>
    </w:p>
    <w:p>
      <w:pPr>
        <w:spacing w:after="160"/>
        <w:jc w:val="both"/>
      </w:pPr>
      <w:r>
        <w:rPr>
          <w:rFonts w:ascii="Arial" w:cs="Arial" w:eastAsia="Arial" w:hAnsi="Arial"/>
          <w:color w:val="555555"/>
          <w:sz w:val="24"/>
          <w:szCs w:val="24"/>
        </w:rPr>
        <w:t xml:space="preserve">Through collaborative team discussions and supporting the team’s implementation of LogBERT and Bidirectional LSTM, I also gained broader knowledge of transformer-based self-supervised learning and deep learning sequence models. Understanding why LogBERT was ultimately selected as the main future-facing model – because it learns normal log behaviour without labels and produces structured anomaly scores – reinforced my appreciation of how model selection should be driven by the practical requirements of the deployment environment, not just benchmark metrics.</w:t>
      </w:r>
    </w:p>
    <w:p>
      <w:pPr>
        <w:pStyle w:val="Heading2"/>
      </w:pPr>
      <w:r>
        <w:rPr>
          <w:rFonts w:ascii="Arial" w:cs="Arial" w:eastAsia="Arial" w:hAnsi="Arial"/>
          <w:b/>
          <w:bCs/>
          <w:color w:val="1A1A2E"/>
          <w:sz w:val="26"/>
          <w:szCs w:val="26"/>
        </w:rPr>
        <w:t xml:space="preserve">2.3 Data Collection, Preprocessing, and Dataset Design</w:t>
      </w:r>
    </w:p>
    <w:p>
      <w:pPr>
        <w:spacing w:after="160"/>
        <w:jc w:val="both"/>
      </w:pPr>
      <w:r>
        <w:rPr>
          <w:rFonts w:ascii="Arial" w:cs="Arial" w:eastAsia="Arial" w:hAnsi="Arial"/>
          <w:color w:val="555555"/>
          <w:sz w:val="24"/>
          <w:szCs w:val="24"/>
        </w:rPr>
        <w:t xml:space="preserve">A core component of my role was building the project’s dataset: full_dataset_final.csv, a multi-source cybersecurity log dataset containing 7,254 log entries from five distinct sources. This task taught me the full data engineering workflow, from sourcing and combining heterogeneous log formats, to designing and applying a preprocessing pipeline that included log tokenisation, IP address and timestamp normalisation, TF-IDF vectorisation, and binary label assignment.</w:t>
      </w:r>
    </w:p>
    <w:p>
      <w:pPr>
        <w:spacing w:after="160"/>
        <w:jc w:val="both"/>
      </w:pPr>
      <w:r>
        <w:rPr>
          <w:rFonts w:ascii="Arial" w:cs="Arial" w:eastAsia="Arial" w:hAnsi="Arial"/>
          <w:color w:val="555555"/>
          <w:sz w:val="24"/>
          <w:szCs w:val="24"/>
        </w:rPr>
        <w:t xml:space="preserve">I also learned the importance of dataset design decisions. Choosing to include logs from multiple sources was deliberate: it aimed to improve the generalisability of the trained models. The experience of assembling this dataset gave me practical knowledge of how real-world data pipelines operate and exposed me to the common challenges of working with messy, inconsistently formatted data.</w:t>
      </w:r>
    </w:p>
    <w:p>
      <w:pPr>
        <w:pStyle w:val="Heading2"/>
      </w:pPr>
      <w:r>
        <w:rPr>
          <w:rFonts w:ascii="Arial" w:cs="Arial" w:eastAsia="Arial" w:hAnsi="Arial"/>
          <w:b/>
          <w:bCs/>
          <w:color w:val="1A1A2E"/>
          <w:sz w:val="26"/>
          <w:szCs w:val="26"/>
        </w:rPr>
        <w:t xml:space="preserve">2.4 AWS Cloud Infrastructure and Services</w:t>
      </w:r>
    </w:p>
    <w:p>
      <w:pPr>
        <w:spacing w:after="160"/>
        <w:jc w:val="both"/>
      </w:pPr>
      <w:r>
        <w:rPr>
          <w:rFonts w:ascii="Arial" w:cs="Arial" w:eastAsia="Arial" w:hAnsi="Arial"/>
          <w:color w:val="555555"/>
          <w:sz w:val="24"/>
          <w:szCs w:val="24"/>
        </w:rPr>
        <w:t xml:space="preserve">Although my primary role was in data and modelling, I made a concerted effort to learn about the AWS cloud infrastructure underpinning the project. Through team collaboration and self-directed study, I gained working knowledge of several key AWS services. I came to understand how Amazon S3 is used for both static website hosting and persistent storage of alert JSON files, how AWS Lambda functions enable serverless log ingestion via API Gateway without requiring a dedicated running server, and how Amazon CloudWatch captures real-time log streams from the website for downstream processing.</w:t>
      </w:r>
    </w:p>
    <w:p>
      <w:pPr>
        <w:spacing w:after="160"/>
        <w:jc w:val="both"/>
      </w:pPr>
      <w:r>
        <w:rPr>
          <w:rFonts w:ascii="Arial" w:cs="Arial" w:eastAsia="Arial" w:hAnsi="Arial"/>
          <w:color w:val="555555"/>
          <w:sz w:val="24"/>
          <w:szCs w:val="24"/>
        </w:rPr>
        <w:t xml:space="preserve">I also learned how EC2 instances serve as the compute environment for running the LogBERT model, and how the Simple Notification Service (SNS) enables automated email alerting when anomalies are detected. Although I was not the primary implementer of these components, understanding how they interconnect across the nine-stage pipeline was essential for my evaluation and analysis work, as I needed to understand what the system was doing in order to critically assess its performance.</w:t>
      </w:r>
    </w:p>
    <w:p>
      <w:pPr>
        <w:pStyle w:val="Heading2"/>
      </w:pPr>
      <w:r>
        <w:rPr>
          <w:rFonts w:ascii="Arial" w:cs="Arial" w:eastAsia="Arial" w:hAnsi="Arial"/>
          <w:b/>
          <w:bCs/>
          <w:color w:val="1A1A2E"/>
          <w:sz w:val="26"/>
          <w:szCs w:val="26"/>
        </w:rPr>
        <w:t xml:space="preserve">2.5 Website Development – HTML and CSS</w:t>
      </w:r>
    </w:p>
    <w:p>
      <w:pPr>
        <w:spacing w:after="160"/>
        <w:jc w:val="both"/>
      </w:pPr>
      <w:r>
        <w:rPr>
          <w:rFonts w:ascii="Arial" w:cs="Arial" w:eastAsia="Arial" w:hAnsi="Arial"/>
          <w:color w:val="555555"/>
          <w:sz w:val="24"/>
          <w:szCs w:val="24"/>
        </w:rPr>
        <w:t xml:space="preserve">An area of knowledge I had not expected to develop during this project was web development. Through team discussions and supporting my teammates, I developed a foundational understanding of how the project’s static website was constructed using HTML and CSS, hosted on Amazon S3, and configured to emit security event logs through API Gateway and Lambda to CloudWatch. Understanding how the front-end and back-end components connected was valuable for appreciating the full system architecture and allowed me to contribute meaningfully to team discussions about the website’s design and testing.</w:t>
      </w:r>
    </w:p>
    <w:p>
      <w:pPr>
        <w:pStyle w:val="Heading1"/>
      </w:pPr>
      <w:r>
        <w:rPr>
          <w:rFonts w:ascii="Arial" w:cs="Arial" w:eastAsia="Arial" w:hAnsi="Arial"/>
          <w:b/>
          <w:bCs/>
          <w:color w:val="1A6E6E"/>
          <w:sz w:val="32"/>
          <w:szCs w:val="32"/>
        </w:rPr>
        <w:t xml:space="preserve">3. Skills Developed</w:t>
      </w:r>
    </w:p>
    <w:p>
      <w:pPr>
        <w:pStyle w:val="Heading2"/>
      </w:pPr>
      <w:r>
        <w:rPr>
          <w:rFonts w:ascii="Arial" w:cs="Arial" w:eastAsia="Arial" w:hAnsi="Arial"/>
          <w:b/>
          <w:bCs/>
          <w:color w:val="1A1A2E"/>
          <w:sz w:val="26"/>
          <w:szCs w:val="26"/>
        </w:rPr>
        <w:t xml:space="preserve">3.1 Data Analysis and Feature Engineering</w:t>
      </w:r>
    </w:p>
    <w:p>
      <w:pPr>
        <w:spacing w:after="160"/>
        <w:jc w:val="both"/>
      </w:pPr>
      <w:r>
        <w:rPr>
          <w:rFonts w:ascii="Arial" w:cs="Arial" w:eastAsia="Arial" w:hAnsi="Arial"/>
          <w:color w:val="555555"/>
          <w:sz w:val="24"/>
          <w:szCs w:val="24"/>
        </w:rPr>
        <w:t xml:space="preserve">Throughout this project I developed strong practical skills in data analysis and feature engineering. Building the preprocessing pipeline required careful decisions about how to transform raw log text into numerical features suitable for machine learning. I applied TF-IDF vectorisation to convert log messages into weighted term frequency representations and designed label assignment logic that separated anomalous entries from normal ones. These skills are directly transferable to professional data analyst roles in cybersecurity, business intelligence, and data engineering contexts.</w:t>
      </w:r>
    </w:p>
    <w:p>
      <w:pPr>
        <w:pStyle w:val="Heading2"/>
      </w:pPr>
      <w:r>
        <w:rPr>
          <w:rFonts w:ascii="Arial" w:cs="Arial" w:eastAsia="Arial" w:hAnsi="Arial"/>
          <w:b/>
          <w:bCs/>
          <w:color w:val="1A1A2E"/>
          <w:sz w:val="26"/>
          <w:szCs w:val="26"/>
        </w:rPr>
        <w:t xml:space="preserve">3.2 Model Training, Evaluation, and Interpretation</w:t>
      </w:r>
    </w:p>
    <w:p>
      <w:pPr>
        <w:spacing w:after="160"/>
        <w:jc w:val="both"/>
      </w:pPr>
      <w:r>
        <w:rPr>
          <w:rFonts w:ascii="Arial" w:cs="Arial" w:eastAsia="Arial" w:hAnsi="Arial"/>
          <w:color w:val="555555"/>
          <w:sz w:val="24"/>
          <w:szCs w:val="24"/>
        </w:rPr>
        <w:t xml:space="preserve">I developed a rigorous approach to model training and evaluation. For the Random Forest and Isolation Forest models, I implemented train-test splitting, model fitting, and the calculation of evaluation metrics including Precision, Recall, F1-score, ROC-AUC, and False Positive Rate. I also produced confusion matrices and evaluation charts that were included in the project report. Critically, I developed the skill of interpreting results with appropriate scepticism – recognising that high benchmark scores can mask underlying problems such as data leakage, and communicating this clearly and honestly in the final report.</w:t>
      </w:r>
    </w:p>
    <w:p>
      <w:pPr>
        <w:pStyle w:val="Heading2"/>
      </w:pPr>
      <w:r>
        <w:rPr>
          <w:rFonts w:ascii="Arial" w:cs="Arial" w:eastAsia="Arial" w:hAnsi="Arial"/>
          <w:b/>
          <w:bCs/>
          <w:color w:val="1A1A2E"/>
          <w:sz w:val="26"/>
          <w:szCs w:val="26"/>
        </w:rPr>
        <w:t xml:space="preserve">3.3 Research and Literature Analysis</w:t>
      </w:r>
    </w:p>
    <w:p>
      <w:pPr>
        <w:spacing w:after="160"/>
        <w:jc w:val="both"/>
      </w:pPr>
      <w:r>
        <w:rPr>
          <w:rFonts w:ascii="Arial" w:cs="Arial" w:eastAsia="Arial" w:hAnsi="Arial"/>
          <w:color w:val="555555"/>
          <w:sz w:val="24"/>
          <w:szCs w:val="24"/>
        </w:rPr>
        <w:t xml:space="preserve">Writing the literature review and contributing to multiple sections of the final report developed my ability to read, synthesise, and critically evaluate academic research. I engaged with published studies on NLP-based log anomaly detection, transformer models applied to cybersecurity, and the limitations of traditional rule-based approaches. This research skill – the ability to move from reading individual papers to forming a synthesised, comparative understanding of a technical field – is one I will continue to develop in future academic and professional work.</w:t>
      </w:r>
    </w:p>
    <w:p>
      <w:pPr>
        <w:pStyle w:val="Heading2"/>
      </w:pPr>
      <w:r>
        <w:rPr>
          <w:rFonts w:ascii="Arial" w:cs="Arial" w:eastAsia="Arial" w:hAnsi="Arial"/>
          <w:b/>
          <w:bCs/>
          <w:color w:val="1A1A2E"/>
          <w:sz w:val="26"/>
          <w:szCs w:val="26"/>
        </w:rPr>
        <w:t xml:space="preserve">3.4 Technical Communication and Documentation</w:t>
      </w:r>
    </w:p>
    <w:p>
      <w:pPr>
        <w:spacing w:after="160"/>
        <w:jc w:val="both"/>
      </w:pPr>
      <w:r>
        <w:rPr>
          <w:rFonts w:ascii="Arial" w:cs="Arial" w:eastAsia="Arial" w:hAnsi="Arial"/>
          <w:color w:val="555555"/>
          <w:sz w:val="24"/>
          <w:szCs w:val="24"/>
        </w:rPr>
        <w:t xml:space="preserve">Contributing to Sections 4, 5, 6.1, 6.2, 6.3, and 10 of the final report required me to translate technical work into clear, structured written communication. Explaining dataset design decisions, preprocessing steps, algorithm comparisons, and evaluation results in a way that is accessible to both technical and non-technical readers is a skill I consciously worked to improve throughout this project. The experience of writing technical documentation for a real prototype system gave me a clearer sense of professional standards in academic and industry reporting.</w:t>
      </w:r>
    </w:p>
    <w:p>
      <w:pPr>
        <w:pStyle w:val="Heading2"/>
      </w:pPr>
      <w:r>
        <w:rPr>
          <w:rFonts w:ascii="Arial" w:cs="Arial" w:eastAsia="Arial" w:hAnsi="Arial"/>
          <w:b/>
          <w:bCs/>
          <w:color w:val="1A1A2E"/>
          <w:sz w:val="26"/>
          <w:szCs w:val="26"/>
        </w:rPr>
        <w:t xml:space="preserve">3.5 Collaborative and Cross-Functional Teamwork</w:t>
      </w:r>
    </w:p>
    <w:p>
      <w:pPr>
        <w:spacing w:after="160"/>
        <w:jc w:val="both"/>
      </w:pPr>
      <w:r>
        <w:rPr>
          <w:rFonts w:ascii="Arial" w:cs="Arial" w:eastAsia="Arial" w:hAnsi="Arial"/>
          <w:color w:val="555555"/>
          <w:sz w:val="24"/>
          <w:szCs w:val="24"/>
        </w:rPr>
        <w:t xml:space="preserve">Working in a four-member team with distinct roles required me to develop strong collaboration skills. I regularly communicated with the Cloud Engineer and Project Manager to ensure that the dataset and model outputs were compatible with the AWS pipeline components. I also supported my teammates by explaining machine learning concepts, preprocessing decisions, and evaluation results when needed. Managing task ownership on the team’s Kanban board and coordinating deliverables under time pressure developed my professional teamwork competencies in a realistic project environment.</w:t>
      </w:r>
    </w:p>
    <w:p>
      <w:pPr>
        <w:pStyle w:val="Heading1"/>
      </w:pPr>
      <w:r>
        <w:rPr>
          <w:rFonts w:ascii="Arial" w:cs="Arial" w:eastAsia="Arial" w:hAnsi="Arial"/>
          <w:b/>
          <w:bCs/>
          <w:color w:val="1A6E6E"/>
          <w:sz w:val="32"/>
          <w:szCs w:val="32"/>
        </w:rPr>
        <w:t xml:space="preserve">4. Challenges Encountered</w:t>
      </w:r>
    </w:p>
    <w:p>
      <w:pPr>
        <w:pStyle w:val="Heading2"/>
      </w:pPr>
      <w:r>
        <w:rPr>
          <w:rFonts w:ascii="Arial" w:cs="Arial" w:eastAsia="Arial" w:hAnsi="Arial"/>
          <w:b/>
          <w:bCs/>
          <w:color w:val="1A1A2E"/>
          <w:sz w:val="26"/>
          <w:szCs w:val="26"/>
        </w:rPr>
        <w:t xml:space="preserve">4.1 Data Leakage and Labelling Validity</w:t>
      </w:r>
    </w:p>
    <w:p>
      <w:pPr>
        <w:spacing w:after="160"/>
        <w:jc w:val="both"/>
      </w:pPr>
      <w:r>
        <w:rPr>
          <w:rFonts w:ascii="Arial" w:cs="Arial" w:eastAsia="Arial" w:hAnsi="Arial"/>
          <w:color w:val="555555"/>
          <w:sz w:val="24"/>
          <w:szCs w:val="24"/>
        </w:rPr>
        <w:t xml:space="preserve">One of the most intellectually challenging problems I encountered was the recognition that my keyword-based labelling strategy may have introduced data leakage into the supervised model evaluation. When I examined the highest-weight TF-IDF features used by the Random Forest model, I found that they directly overlapped with the keywords I had used to assign labels in the first place (for example, “failed”, “invalid”, “error”). This meant the model may have been learning the labelling rules rather than detecting genuine anomalous behaviour patterns.</w:t>
      </w:r>
    </w:p>
    <w:p>
      <w:pPr>
        <w:spacing w:after="160"/>
        <w:jc w:val="both"/>
      </w:pPr>
      <w:r>
        <w:rPr>
          <w:rFonts w:ascii="Arial" w:cs="Arial" w:eastAsia="Arial" w:hAnsi="Arial"/>
          <w:color w:val="555555"/>
          <w:sz w:val="24"/>
          <w:szCs w:val="24"/>
        </w:rPr>
        <w:t xml:space="preserve">Addressing this challenge required intellectual honesty: rather than ignoring the problem to protect the appearance of strong results, I documented it explicitly as a known limitation of the project. This experience taught me the importance of designing label assignment strategies independently of the feature space and underscored the value of benchmark labels such as those provided by the LogHub repository for future work.</w:t>
      </w:r>
    </w:p>
    <w:p>
      <w:pPr>
        <w:pStyle w:val="Heading2"/>
      </w:pPr>
      <w:r>
        <w:rPr>
          <w:rFonts w:ascii="Arial" w:cs="Arial" w:eastAsia="Arial" w:hAnsi="Arial"/>
          <w:b/>
          <w:bCs/>
          <w:color w:val="1A1A2E"/>
          <w:sz w:val="26"/>
          <w:szCs w:val="26"/>
        </w:rPr>
        <w:t xml:space="preserve">4.2 Coding and Technical Implementation Problems</w:t>
      </w:r>
    </w:p>
    <w:p>
      <w:pPr>
        <w:spacing w:after="160"/>
        <w:jc w:val="both"/>
      </w:pPr>
      <w:r>
        <w:rPr>
          <w:rFonts w:ascii="Arial" w:cs="Arial" w:eastAsia="Arial" w:hAnsi="Arial"/>
          <w:color w:val="555555"/>
          <w:sz w:val="24"/>
          <w:szCs w:val="24"/>
        </w:rPr>
        <w:t xml:space="preserve">I encountered a number of significant technical challenges during the coding phases of the project. Building the preprocessing pipeline for a multi-source dataset with inconsistent log formats required multiple iterations of debugging and redesign. Different log sources used different timestamp formats, field separators, and message structures, which meant that a single preprocessing function could not be naively applied across all data. Developing source-specific parsing logic and then combining the outputs into a unified, consistently formatted dataset was time-consuming and required careful attention to detail.</w:t>
      </w:r>
    </w:p>
    <w:p>
      <w:pPr>
        <w:spacing w:after="160"/>
        <w:jc w:val="both"/>
      </w:pPr>
      <w:r>
        <w:rPr>
          <w:rFonts w:ascii="Arial" w:cs="Arial" w:eastAsia="Arial" w:hAnsi="Arial"/>
          <w:color w:val="555555"/>
          <w:sz w:val="24"/>
          <w:szCs w:val="24"/>
        </w:rPr>
        <w:t xml:space="preserve">I also encountered challenges when training and evaluating the machine learning models, particularly around ensuring that the train-test split was applied correctly and that no data leakage occurred at the pipeline level. Debugging model performance issues, investigating unexpected evaluation metric values, and cross-referencing results with the literature required persistence and methodical problem-solving.</w:t>
      </w:r>
    </w:p>
    <w:p>
      <w:pPr>
        <w:pStyle w:val="Heading2"/>
      </w:pPr>
      <w:r>
        <w:rPr>
          <w:rFonts w:ascii="Arial" w:cs="Arial" w:eastAsia="Arial" w:hAnsi="Arial"/>
          <w:b/>
          <w:bCs/>
          <w:color w:val="1A1A2E"/>
          <w:sz w:val="26"/>
          <w:szCs w:val="26"/>
        </w:rPr>
        <w:t xml:space="preserve">4.3 AWS Account Migration and Infrastructure Disruption</w:t>
      </w:r>
    </w:p>
    <w:p>
      <w:pPr>
        <w:spacing w:after="160"/>
        <w:jc w:val="both"/>
      </w:pPr>
      <w:r>
        <w:rPr>
          <w:rFonts w:ascii="Arial" w:cs="Arial" w:eastAsia="Arial" w:hAnsi="Arial"/>
          <w:color w:val="555555"/>
          <w:sz w:val="24"/>
          <w:szCs w:val="24"/>
        </w:rPr>
        <w:t xml:space="preserve">A significant external challenge that affected the entire team was the deactivation of the original AWS account mid-project, which required a full migration to a new account and a partial rebuild of the cloud infrastructure. While this disruption primarily impacted my teammates responsible for the cloud architecture, it indirectly affected my work by creating uncertainty about whether the pipeline components that my data and models depended upon would be ready within the project timeline. Navigating this challenge as a team required flexibility, clear communication, and a willingness to adapt plans in response to unexpected circumstances.</w:t>
      </w:r>
    </w:p>
    <w:p>
      <w:pPr>
        <w:pStyle w:val="Heading2"/>
      </w:pPr>
      <w:r>
        <w:rPr>
          <w:rFonts w:ascii="Arial" w:cs="Arial" w:eastAsia="Arial" w:hAnsi="Arial"/>
          <w:b/>
          <w:bCs/>
          <w:color w:val="1A1A2E"/>
          <w:sz w:val="26"/>
          <w:szCs w:val="26"/>
        </w:rPr>
        <w:t xml:space="preserve">4.4 Understanding New Technologies</w:t>
      </w:r>
    </w:p>
    <w:p>
      <w:pPr>
        <w:spacing w:after="160"/>
        <w:jc w:val="both"/>
      </w:pPr>
      <w:r>
        <w:rPr>
          <w:rFonts w:ascii="Arial" w:cs="Arial" w:eastAsia="Arial" w:hAnsi="Arial"/>
          <w:color w:val="555555"/>
          <w:sz w:val="24"/>
          <w:szCs w:val="24"/>
        </w:rPr>
        <w:t xml:space="preserve">Several technologies used in this project were new to me at the outset, including AWS Lambda, API Gateway, CloudWatch, and EC2. Learning these tools while simultaneously progressing with my own data and modelling tasks required effective time management and self-directed learning. I used AWS documentation, team explanations, and experimentation to build my understanding. While I did not implement these components directly, the ability to engage with them conceptually was essential for contributing meaningfully to architectural discussions and for writing accurate evaluation sections of the report.</w:t>
      </w:r>
    </w:p>
    <w:p>
      <w:pPr>
        <w:pStyle w:val="Heading1"/>
      </w:pPr>
      <w:r>
        <w:rPr>
          <w:rFonts w:ascii="Arial" w:cs="Arial" w:eastAsia="Arial" w:hAnsi="Arial"/>
          <w:b/>
          <w:bCs/>
          <w:color w:val="1A6E6E"/>
          <w:sz w:val="32"/>
          <w:szCs w:val="32"/>
        </w:rPr>
        <w:t xml:space="preserve">5. Professional Growth</w:t>
      </w:r>
    </w:p>
    <w:p>
      <w:pPr>
        <w:pStyle w:val="Heading2"/>
      </w:pPr>
      <w:r>
        <w:rPr>
          <w:rFonts w:ascii="Arial" w:cs="Arial" w:eastAsia="Arial" w:hAnsi="Arial"/>
          <w:b/>
          <w:bCs/>
          <w:color w:val="1A1A2E"/>
          <w:sz w:val="26"/>
          <w:szCs w:val="26"/>
        </w:rPr>
        <w:t xml:space="preserve">5.1 Analytical and Critical Thinking</w:t>
      </w:r>
    </w:p>
    <w:p>
      <w:pPr>
        <w:spacing w:after="160"/>
        <w:jc w:val="both"/>
      </w:pPr>
      <w:r>
        <w:rPr>
          <w:rFonts w:ascii="Arial" w:cs="Arial" w:eastAsia="Arial" w:hAnsi="Arial"/>
          <w:color w:val="555555"/>
          <w:sz w:val="24"/>
          <w:szCs w:val="24"/>
        </w:rPr>
        <w:t xml:space="preserve">This project significantly advanced my ability to think analytically and critically about data, models, and results. The experience of identifying the data leakage problem in my own work and choosing to document it transparently rather than suppress it was a formative moment in developing professional integrity. I learned that high performance metrics alone are not sufficient evidence of a robust system and that responsible data analysis requires understanding the assumptions and limitations embedded in every design decision.</w:t>
      </w:r>
    </w:p>
    <w:p>
      <w:pPr>
        <w:pStyle w:val="Heading2"/>
      </w:pPr>
      <w:r>
        <w:rPr>
          <w:rFonts w:ascii="Arial" w:cs="Arial" w:eastAsia="Arial" w:hAnsi="Arial"/>
          <w:b/>
          <w:bCs/>
          <w:color w:val="1A1A2E"/>
          <w:sz w:val="26"/>
          <w:szCs w:val="26"/>
        </w:rPr>
        <w:t xml:space="preserve">5.2 Responsibility and Ownership</w:t>
      </w:r>
    </w:p>
    <w:p>
      <w:pPr>
        <w:spacing w:after="160"/>
        <w:jc w:val="both"/>
      </w:pPr>
      <w:r>
        <w:rPr>
          <w:rFonts w:ascii="Arial" w:cs="Arial" w:eastAsia="Arial" w:hAnsi="Arial"/>
          <w:color w:val="555555"/>
          <w:sz w:val="24"/>
          <w:szCs w:val="24"/>
        </w:rPr>
        <w:t xml:space="preserve">Taking ownership of the project’s dataset and core machine learning models gave me a strong sense of personal responsibility for the quality and integrity of the work. The full_dataset_final.csv file and the rf_model.pkl artefact are credited to me in the project’s deliverable register, and knowing that the entire team’s model evaluation depended on these artefacts being correct reinforced my commitment to thoroughness and accuracy. This experience of being individually accountable within a collaborative team is an important dimension of professional practice.</w:t>
      </w:r>
    </w:p>
    <w:p>
      <w:pPr>
        <w:pStyle w:val="Heading2"/>
      </w:pPr>
      <w:r>
        <w:rPr>
          <w:rFonts w:ascii="Arial" w:cs="Arial" w:eastAsia="Arial" w:hAnsi="Arial"/>
          <w:b/>
          <w:bCs/>
          <w:color w:val="1A1A2E"/>
          <w:sz w:val="26"/>
          <w:szCs w:val="26"/>
        </w:rPr>
        <w:t xml:space="preserve">5.3 Adaptability and Self-Directed Learning</w:t>
      </w:r>
    </w:p>
    <w:p>
      <w:pPr>
        <w:spacing w:after="160"/>
        <w:jc w:val="both"/>
      </w:pPr>
      <w:r>
        <w:rPr>
          <w:rFonts w:ascii="Arial" w:cs="Arial" w:eastAsia="Arial" w:hAnsi="Arial"/>
          <w:color w:val="555555"/>
          <w:sz w:val="24"/>
          <w:szCs w:val="24"/>
        </w:rPr>
        <w:t xml:space="preserve">One of the most valuable aspects of professional growth I experienced was learning how to learn quickly in the face of unfamiliar technology. The self-directed process of building knowledge about AWS services, understanding how transformer-based models like LogBERT operate, and contributing to discussions about HTML, CSS, and web deployment expanded my technical breadth considerably. The willingness to step beyond the boundaries of one’s defined role and contribute to the team’s collective understanding is a professional attribute I will continue to develop.</w:t>
      </w:r>
    </w:p>
    <w:p>
      <w:pPr>
        <w:pStyle w:val="Heading2"/>
      </w:pPr>
      <w:r>
        <w:rPr>
          <w:rFonts w:ascii="Arial" w:cs="Arial" w:eastAsia="Arial" w:hAnsi="Arial"/>
          <w:b/>
          <w:bCs/>
          <w:color w:val="1A1A2E"/>
          <w:sz w:val="26"/>
          <w:szCs w:val="26"/>
        </w:rPr>
        <w:t xml:space="preserve">5.4 Ethical Awareness in AI and Data Practice</w:t>
      </w:r>
    </w:p>
    <w:p>
      <w:pPr>
        <w:spacing w:after="160"/>
        <w:jc w:val="both"/>
      </w:pPr>
      <w:r>
        <w:rPr>
          <w:rFonts w:ascii="Arial" w:cs="Arial" w:eastAsia="Arial" w:hAnsi="Arial"/>
          <w:color w:val="555555"/>
          <w:sz w:val="24"/>
          <w:szCs w:val="24"/>
        </w:rPr>
        <w:t xml:space="preserve">Contributing to the project’s ethical considerations section deepened my awareness of the ethical dimensions of AI and data work in cybersecurity contexts. Issues such as data privacy, the responsible use of cloud-generated log data, AI transparency, and the potential societal impact of automated anomaly detection systems are not abstract concerns – they are concrete professional responsibilities. I now approach data work with a more deliberate awareness of these considerations.</w:t>
      </w:r>
    </w:p>
    <w:p>
      <w:pPr>
        <w:pStyle w:val="Heading2"/>
      </w:pPr>
      <w:r>
        <w:rPr>
          <w:rFonts w:ascii="Arial" w:cs="Arial" w:eastAsia="Arial" w:hAnsi="Arial"/>
          <w:b/>
          <w:bCs/>
          <w:color w:val="1A1A2E"/>
          <w:sz w:val="26"/>
          <w:szCs w:val="26"/>
        </w:rPr>
        <w:t xml:space="preserve">5.5 Written Communication and Reporting</w:t>
      </w:r>
    </w:p>
    <w:p>
      <w:pPr>
        <w:spacing w:after="160"/>
        <w:jc w:val="both"/>
      </w:pPr>
      <w:r>
        <w:rPr>
          <w:rFonts w:ascii="Arial" w:cs="Arial" w:eastAsia="Arial" w:hAnsi="Arial"/>
          <w:color w:val="555555"/>
          <w:sz w:val="24"/>
          <w:szCs w:val="24"/>
        </w:rPr>
        <w:t xml:space="preserve">Writing substantial portions of a professional technical report across multiple sections, including the Dataset, Preprocessing, Algorithms, and Evaluation chapters, materially improved my ability to communicate complex technical content in a structured, evidence-based manner. The iterative process of drafting, reviewing, and refining these sections in alignment with the team’s broader report structure was valuable preparation for professional documentation work in data analysis and engineering roles.</w:t>
      </w:r>
    </w:p>
    <w:p>
      <w:pPr>
        <w:pStyle w:val="Heading1"/>
      </w:pPr>
      <w:r>
        <w:rPr>
          <w:rFonts w:ascii="Arial" w:cs="Arial" w:eastAsia="Arial" w:hAnsi="Arial"/>
          <w:b/>
          <w:bCs/>
          <w:color w:val="1A6E6E"/>
          <w:sz w:val="32"/>
          <w:szCs w:val="32"/>
        </w:rPr>
        <w:t xml:space="preserve">6. Conclusion</w:t>
      </w:r>
    </w:p>
    <w:p>
      <w:pPr>
        <w:spacing w:after="160"/>
        <w:jc w:val="both"/>
      </w:pPr>
      <w:r>
        <w:rPr>
          <w:rFonts w:ascii="Arial" w:cs="Arial" w:eastAsia="Arial" w:hAnsi="Arial"/>
          <w:color w:val="555555"/>
          <w:sz w:val="24"/>
          <w:szCs w:val="24"/>
        </w:rPr>
        <w:t xml:space="preserve">The LogGuard AI project has been the most technically and professionally demanding experience of my academic studies to date. Through my role as Data Analyst and NLP Developer, I developed practical competencies in dataset engineering, machine learning, model evaluation, and technical reporting while simultaneously expanding my knowledge of cloud infrastructure, web technologies, and applied NLP for cybersecurity.</w:t>
      </w:r>
    </w:p>
    <w:p>
      <w:pPr>
        <w:spacing w:after="160"/>
        <w:jc w:val="both"/>
      </w:pPr>
      <w:r>
        <w:rPr>
          <w:rFonts w:ascii="Arial" w:cs="Arial" w:eastAsia="Arial" w:hAnsi="Arial"/>
          <w:color w:val="555555"/>
          <w:sz w:val="24"/>
          <w:szCs w:val="24"/>
        </w:rPr>
        <w:t xml:space="preserve">The challenges I encountered – from diagnosing data leakage in my own models to navigating unfamiliar AWS services and resolving complex coding problems – were significant, but each one contributed to growth. I leave this project with a clearer understanding of what professional data analysis looks like in practice: it requires not only technical skill, but also intellectual honesty, critical self-evaluation, collaborative communication, and a commitment to continuous learning.</w:t>
      </w:r>
    </w:p>
    <w:p>
      <w:pPr>
        <w:spacing w:after="160"/>
        <w:jc w:val="both"/>
      </w:pPr>
      <w:r>
        <w:rPr>
          <w:rFonts w:ascii="Arial" w:cs="Arial" w:eastAsia="Arial" w:hAnsi="Arial"/>
          <w:color w:val="555555"/>
          <w:sz w:val="24"/>
          <w:szCs w:val="24"/>
        </w:rPr>
        <w:t xml:space="preserve">The knowledge and skills I have developed through LogGuard AI provide a strong foundation for my future work in data analysis, NLP engineering, and cybersecurity – and the professional habits I have formed in this project will remain with me throughout my career.</w:t>
      </w:r>
    </w:p>
    <w:p>
      <w:pPr>
        <w:spacing w:after="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Individual Reflection | COIT20265 | Yeakub (12289551)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E6E" w:sz="4" w:space="4"/>
      </w:pBdr>
      <w:spacing w:after="160" w:before="360"/>
      <w:outlineLvl w:val="0"/>
    </w:pPr>
    <w:rPr>
      <w:rFonts w:ascii="Arial" w:cs="Arial" w:eastAsia="Arial" w:hAnsi="Arial"/>
      <w:b/>
      <w:bCs/>
      <w:color w:val="1A6E6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2026-06-09T01:16:23.866Z</dcterms:created>
  <dcterms:modified xsi:type="dcterms:W3CDTF">2026-06-09T01:16:23.866Z</dcterms:modified>
</cp:coreProperties>
</file>

<file path=docProps/custom.xml><?xml version="1.0" encoding="utf-8"?>
<Properties xmlns="http://schemas.openxmlformats.org/officeDocument/2006/custom-properties" xmlns:vt="http://schemas.openxmlformats.org/officeDocument/2006/docPropsVTypes"/>
</file>