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Лабораторная работа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«Лабораторная работа № 2. Анализ требований и сценариев таксопарка»</w:t>
      </w: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дисциплине «Программная инженерия»</w:t>
      </w:r>
    </w:p>
    <w:p>
      <w:pPr>
        <w:spacing w:before="24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3540"/>
        <w:jc w:val="left"/>
      </w:pPr>
    </w:p>
    <w:p>
      <w:pPr>
        <w:spacing w:before="0" w:after="0" w:line="240" w:lineRule="auto"/>
        <w:ind w:firstLine="0" w:left="311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Студента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Шкурин Михаил Сергеевич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</w:t>
      </w:r>
    </w:p>
    <w:p>
      <w:pPr>
        <w:spacing w:before="0" w:after="0" w:line="36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Курс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ab/>
        <w:tab/>
        <w:t>Группа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ФИТ-242</w:t>
      </w:r>
    </w:p>
    <w:p>
      <w:pPr>
        <w:spacing w:before="0" w:after="0" w:line="360" w:lineRule="auto"/>
        <w:ind w:hanging="1920" w:left="503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Направление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02.03.02 Фундаментальная информатика и информационные технологии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Проверил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ассистент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</w:t>
      </w:r>
    </w:p>
    <w:p>
      <w:pPr>
        <w:spacing w:before="0" w:after="0" w:line="360" w:lineRule="auto"/>
        <w:ind w:firstLine="0" w:left="6406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должность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Плескунов Д. А.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Выполнил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</w:t>
      </w:r>
    </w:p>
    <w:p>
      <w:pPr>
        <w:spacing w:before="0" w:after="0" w:line="360" w:lineRule="auto"/>
        <w:ind w:firstLine="0" w:left="65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студента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          </w:t>
      </w:r>
    </w:p>
    <w:p>
      <w:pPr>
        <w:spacing w:before="0" w:after="0" w:line="240" w:lineRule="auto"/>
        <w:ind w:firstLine="0" w:left="60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преподавателя</w:t>
      </w:r>
    </w:p>
    <w:p>
      <w:pPr>
        <w:sectPr>
          <w:headerReference w:type="first" r:id="rId9"/>
          <w:footerReference w:type="first" r:id="rId10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pageBreakBefore w:val="0"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АННОТАЦИЯ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Отчёт описывает анализ требований и сценариев системы заказа такси. Девять воспроизводимых диаграмм охватывают прецеденты, трассировку, классы анализа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последовательности (4 фазы основного сценария покупки), кооперацию и ключевые абстракции. Методология основана на главе 3 учебного пособия по </w:t>
      </w:r>
      <w:r>
        <w:rPr>
          <w:rFonts w:ascii="Times New Roman" w:hAnsi="Times New Roman" w:eastAsia="Times New Roman" w:cs="Times New Roman"/>
          <w:b w:val="0"/>
          <w:i/>
        </w:rPr>
        <w:t>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СОДЕРЖАНИЕ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fldChar w:fldCharType="begin" w:dirty="true"/>
        <w:instrText xml:space="preserve"> TOC \o "1-3" \h \z \u </w:instrText>
        <w:fldChar w:fldCharType="separate"/>
        <w:fldChar w:fldCharType="end"/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ВВЕДЕНИЕ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Цель работы – применить метод анализа требований из главы 3 пособия [1] к системе заказа такси, выбранной для сквозного проекта (вариант 10 – Таксопарк, как в ЛР 1). Задание следует методологии </w:t>
      </w:r>
      <w:r>
        <w:rPr>
          <w:rFonts w:ascii="Times New Roman" w:hAnsi="Times New Roman" w:eastAsia="Times New Roman" w:cs="Times New Roman"/>
          <w:b w:val="0"/>
          <w:i/>
        </w:rPr>
        <w:t>Rational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Rose/UML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: архитектурный анализ, ключевые абстракции, реализация вариантов использования через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диаграммы взаимодействия. Нативный проект </w:t>
      </w:r>
      <w:r>
        <w:rPr>
          <w:rFonts w:ascii="Times New Roman" w:hAnsi="Times New Roman" w:eastAsia="Times New Roman" w:cs="Times New Roman"/>
          <w:b w:val="0"/>
          <w:i/>
        </w:rPr>
        <w:t>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-средства в репозитории отсутствует; модели представлены редактируемым </w:t>
      </w:r>
      <w:r>
        <w:rPr>
          <w:rFonts w:ascii="Times New Roman" w:hAnsi="Times New Roman" w:eastAsia="Times New Roman" w:cs="Times New Roman"/>
          <w:b w:val="0"/>
          <w:i/>
        </w:rPr>
        <w:t>PlantUML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ОСНОВНАЯ ЧАСТЬ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</w:rPr>
        <w:t>Предметная область и требования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Пассажир заказывает такси через приложение или диспетчера, водитель выполняет поездку, диспетчер координирует заказы и водителей. Система поддерживает поиск свободных машин, расчёт стоимости, оплату, отмену заказа и оценку поездки.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ID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Требование | Способ отражения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||---|---|---|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FR-01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Поиск свободных машин | Прецеденты, фаза 1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Назначение водителя на заказ | Фаза 2, </w:t>
      </w:r>
      <w:r>
        <w:rPr>
          <w:rFonts w:ascii="Times New Roman" w:hAnsi="Times New Roman" w:eastAsia="Times New Roman" w:cs="Times New Roman"/>
          <w:b w:val="0"/>
          <w:i/>
        </w:rPr>
        <w:t>RideAssignment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FR-03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Расчёт стоимости поездки по расстоянию/времени | Фаза 2, </w:t>
      </w:r>
      <w:r>
        <w:rPr>
          <w:rFonts w:ascii="Times New Roman" w:hAnsi="Times New Roman" w:eastAsia="Times New Roman" w:cs="Times New Roman"/>
          <w:b w:val="0"/>
          <w:i/>
        </w:rPr>
        <w:t>PriceCalculator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FR-04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Оплата заказа | Фаза 3, </w:t>
      </w:r>
      <w:r>
        <w:rPr>
          <w:rFonts w:ascii="Times New Roman" w:hAnsi="Times New Roman" w:eastAsia="Times New Roman" w:cs="Times New Roman"/>
          <w:b w:val="0"/>
          <w:i/>
        </w:rPr>
        <w:t>PaymentGateway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FR-05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Отмена заказа до начала поездки | Прецедент отмены, состояние </w:t>
      </w:r>
      <w:r>
        <w:rPr>
          <w:rFonts w:ascii="Times New Roman" w:hAnsi="Times New Roman" w:eastAsia="Times New Roman" w:cs="Times New Roman"/>
          <w:b w:val="0"/>
          <w:i/>
        </w:rPr>
        <w:t>Ride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FR-06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Оценка поездки пассажиром | Прецедент оценки, </w:t>
      </w:r>
      <w:r>
        <w:rPr>
          <w:rFonts w:ascii="Times New Roman" w:hAnsi="Times New Roman" w:eastAsia="Times New Roman" w:cs="Times New Roman"/>
          <w:b w:val="0"/>
          <w:i/>
        </w:rPr>
        <w:t>Rating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QR-01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Защита от двойного назначения водителя на один заказ | Уникальность заказа, атомарное назначение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QR-02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Отказ оплаты не отменяет назначение водителя | Разделение оплаты и назначения |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</w:rPr>
        <w:t xml:space="preserve">Сценарий </w:t>
      </w:r>
      <w:r>
        <w:rPr>
          <w:rFonts w:ascii="Times New Roman" w:hAnsi="Times New Roman" w:eastAsia="Times New Roman" w:cs="Times New Roman"/>
          <w:b/>
          <w:i/>
        </w:rPr>
        <w:t>Purchase</w:t>
      </w:r>
      <w:r>
        <w:rPr>
          <w:rFonts w:ascii="Times New Roman" w:hAnsi="Times New Roman" w:eastAsia="Times New Roman" w:cs="Times New Roman"/>
          <w:b/>
          <w:i w:val="0"/>
        </w:rPr>
        <w:t xml:space="preserve"> </w:t>
      </w:r>
      <w:r>
        <w:rPr>
          <w:rFonts w:ascii="Times New Roman" w:hAnsi="Times New Roman" w:eastAsia="Times New Roman" w:cs="Times New Roman"/>
          <w:b/>
          <w:i/>
        </w:rPr>
        <w:t>Ride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Предусловия: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пассажир имеет аккаунт в системе; есть свободные водители. </w:t>
      </w:r>
      <w:r>
        <w:rPr>
          <w:rFonts w:ascii="Times New Roman" w:hAnsi="Times New Roman" w:eastAsia="Times New Roman" w:cs="Times New Roman"/>
          <w:b/>
          <w:i w:val="0"/>
        </w:rPr>
        <w:t>Основной результат: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оплаченный заказ с назначенным водителем; пассажир видит детали поездки. </w:t>
      </w:r>
      <w:r>
        <w:rPr>
          <w:rFonts w:ascii="Times New Roman" w:hAnsi="Times New Roman" w:eastAsia="Times New Roman" w:cs="Times New Roman"/>
          <w:b/>
          <w:i w:val="0"/>
        </w:rPr>
        <w:t>Основной поток: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поиск машин; выбор водителя; расчёт стоимости; подтверждение заказа; оплата; назначение водителя; начало поездки; завершение поездки; оценка. </w:t>
      </w:r>
      <w:r>
        <w:rPr>
          <w:rFonts w:ascii="Times New Roman" w:hAnsi="Times New Roman" w:eastAsia="Times New Roman" w:cs="Times New Roman"/>
          <w:b/>
          <w:i w:val="0"/>
        </w:rPr>
        <w:t>Альтернативы: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нет свободных машин – повторный поиск; отказ оплаты – заказ отменяется; отмена пассажиром до начала – освобождение водителя; сбой оплаты – повторная попытка.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</w:rPr>
        <w:t>Соглашения по моделированию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3.1 Именование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Имена вариантов использования – короткие глагольные фразы на русском языке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Имена классов – существительные на английском языке, начинаются с заглавной буквы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Имена атрибутов и операций – с маленькой буквы, </w:t>
      </w:r>
      <w:r>
        <w:rPr>
          <w:rFonts w:ascii="Times New Roman" w:hAnsi="Times New Roman" w:eastAsia="Times New Roman" w:cs="Times New Roman"/>
          <w:b w:val="0"/>
          <w:i/>
        </w:rPr>
        <w:t>camelCase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Составные имена – без подчёркиваний, каждое слово с заглавной (</w:t>
      </w:r>
      <w:r>
        <w:rPr>
          <w:rFonts w:ascii="Times New Roman" w:hAnsi="Times New Roman" w:eastAsia="Times New Roman" w:cs="Times New Roman"/>
          <w:b w:val="0"/>
          <w:i/>
        </w:rPr>
        <w:t>CamelCase</w:t>
      </w:r>
      <w:r>
        <w:rPr>
          <w:rFonts w:ascii="Times New Roman" w:hAnsi="Times New Roman" w:eastAsia="Times New Roman" w:cs="Times New Roman"/>
          <w:b w:val="0"/>
          <w:i w:val="0"/>
        </w:rPr>
        <w:t>)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3.2 Организация модели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Пакет </w:t>
      </w:r>
      <w:r>
        <w:rPr>
          <w:rFonts w:ascii="Times New Roman" w:hAnsi="Times New Roman" w:eastAsia="Times New Roman" w:cs="Times New Roman"/>
          <w:b w:val="0"/>
          <w:i/>
        </w:rPr>
        <w:t>Design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Model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содержит все аналитические модели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Пакет 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содержит реализации прецедентов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Для каждого прецедента создаётся пакет 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Name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В каждой реализации – кооперация с именем прецедента и стереотипом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Диаграмма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внутри каждой кооперации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3.3 Стереотипы классов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Boundary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граничные классы (</w:t>
      </w:r>
      <w:r>
        <w:rPr>
          <w:rFonts w:ascii="Times New Roman" w:hAnsi="Times New Roman" w:eastAsia="Times New Roman" w:cs="Times New Roman"/>
          <w:b w:val="0"/>
          <w:i/>
        </w:rPr>
        <w:t>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API</w:t>
      </w:r>
      <w:r>
        <w:rPr>
          <w:rFonts w:ascii="Times New Roman" w:hAnsi="Times New Roman" w:eastAsia="Times New Roman" w:cs="Times New Roman"/>
          <w:b w:val="0"/>
          <w:i w:val="0"/>
        </w:rPr>
        <w:t>)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Control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управляющие классы (контроллеры)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Entity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классы-сущности (предметные объекты)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4. </w:t>
      </w:r>
      <w:r>
        <w:rPr>
          <w:rFonts w:ascii="Times New Roman" w:hAnsi="Times New Roman" w:eastAsia="Times New Roman" w:cs="Times New Roman"/>
          <w:b/>
          <w:i w:val="0"/>
        </w:rPr>
        <w:t>Ключевые абстракции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724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ey_abstr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24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 – Ключевые абстракции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>Passenger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пассажир, заказывающий поездку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Driver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водитель, выполняющий поездку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Dispatcher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диспетчер, координирующий заказы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Ride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заказ на поездку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Vehicle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автомобиль водителя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Location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местоположение (адрес, координаты)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Payment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платёжная информация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Rating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оценка поездки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5. </w:t>
      </w:r>
      <w:r>
        <w:rPr>
          <w:rFonts w:ascii="Times New Roman" w:hAnsi="Times New Roman" w:eastAsia="Times New Roman" w:cs="Times New Roman"/>
          <w:b/>
          <w:i w:val="0"/>
        </w:rPr>
        <w:t>Диаграммы и решения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5.1 Диаграмма вариантов использования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646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se_case_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64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 – Диаграмма вариантов использования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Граница системы охватывает заказ и выполнение поездок. Пассажир и водитель имеют общую цель – выполнение поездки, но используют разные каналы (приложение </w:t>
      </w:r>
      <w:r>
        <w:rPr>
          <w:rFonts w:ascii="Times New Roman" w:hAnsi="Times New Roman" w:eastAsia="Times New Roman" w:cs="Times New Roman"/>
          <w:b w:val="0"/>
          <w:i/>
        </w:rPr>
        <w:t>vs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водительское приложение). Диспетчер показан отдельным актором для ручного координирования.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include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означает обязательные шаги (поиск, расчёт, оплата),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extend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условные действия (отмена, оценка). Обобщение акторов исключает дублирование сценария покупки.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5.2 Трассировка прецедентов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949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aceabilities_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94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 – Трассировка прецедентов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Каждый существенный прецедент связан с реализацией и конкретными классами проектной модели. Эта связь нужна для проверки покрытия: изменение шага </w:t>
      </w:r>
      <w:r>
        <w:rPr>
          <w:rFonts w:ascii="Times New Roman" w:hAnsi="Times New Roman" w:eastAsia="Times New Roman" w:cs="Times New Roman"/>
          <w:b w:val="0"/>
          <w:i/>
        </w:rPr>
        <w:t>Purchase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Ride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требует пересмотра </w:t>
      </w:r>
      <w:r>
        <w:rPr>
          <w:rFonts w:ascii="Times New Roman" w:hAnsi="Times New Roman" w:eastAsia="Times New Roman" w:cs="Times New Roman"/>
          <w:b w:val="0"/>
          <w:i/>
        </w:rPr>
        <w:t>RideController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w:r>
        <w:rPr>
          <w:rFonts w:ascii="Times New Roman" w:hAnsi="Times New Roman" w:eastAsia="Times New Roman" w:cs="Times New Roman"/>
          <w:b w:val="0"/>
          <w:i/>
        </w:rPr>
        <w:t>Ride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а изменение диспетчерского управления – </w:t>
      </w:r>
      <w:r>
        <w:rPr>
          <w:rFonts w:ascii="Times New Roman" w:hAnsi="Times New Roman" w:eastAsia="Times New Roman" w:cs="Times New Roman"/>
          <w:b w:val="0"/>
          <w:i/>
        </w:rPr>
        <w:t>DispatcherController</w:t>
      </w:r>
      <w:r>
        <w:rPr>
          <w:rFonts w:ascii="Times New Roman" w:hAnsi="Times New Roman" w:eastAsia="Times New Roman" w:cs="Times New Roman"/>
          <w:b w:val="0"/>
          <w:i w:val="0"/>
        </w:rPr>
        <w:t>. Трассировка не заменяет исполняемые тесты, но показывает, какие артефакты должны меняться совместно.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 xml:space="preserve">5.3 Классы анализа </w:t>
      </w:r>
      <w:r>
        <w:rPr>
          <w:rFonts w:ascii="Times New Roman" w:hAnsi="Times New Roman" w:eastAsia="Times New Roman" w:cs="Times New Roman"/>
          <w:b w:val="0"/>
          <w:i/>
        </w:rPr>
        <w:t>VOPC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1573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opc_analysis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5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Рисунок 4 – Классы анализа </w:t>
      </w:r>
      <w:r>
        <w:rPr>
          <w:rFonts w:ascii="Times New Roman" w:hAnsi="Times New Roman" w:eastAsia="Times New Roman" w:cs="Times New Roman"/>
          <w:b w:val="0"/>
          <w:i/>
          <w:sz w:val="28"/>
        </w:rPr>
        <w:t>VOPC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Граничный </w:t>
      </w:r>
      <w:r>
        <w:rPr>
          <w:rFonts w:ascii="Times New Roman" w:hAnsi="Times New Roman" w:eastAsia="Times New Roman" w:cs="Times New Roman"/>
          <w:b w:val="0"/>
          <w:i/>
        </w:rPr>
        <w:t>RideUI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принимает действия пользователя, </w:t>
      </w:r>
      <w:r>
        <w:rPr>
          <w:rFonts w:ascii="Times New Roman" w:hAnsi="Times New Roman" w:eastAsia="Times New Roman" w:cs="Times New Roman"/>
          <w:b w:val="0"/>
          <w:i/>
        </w:rPr>
        <w:t>RideController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координирует сценарий, а </w:t>
      </w:r>
      <w:r>
        <w:rPr>
          <w:rFonts w:ascii="Times New Roman" w:hAnsi="Times New Roman" w:eastAsia="Times New Roman" w:cs="Times New Roman"/>
          <w:b w:val="0"/>
          <w:i/>
        </w:rPr>
        <w:t>Ride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Vehicle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Location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Payment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w:r>
        <w:rPr>
          <w:rFonts w:ascii="Times New Roman" w:hAnsi="Times New Roman" w:eastAsia="Times New Roman" w:cs="Times New Roman"/>
          <w:b w:val="0"/>
          <w:i/>
        </w:rPr>
        <w:t>Rating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хранят предметные состояния. Граничные классы изолируют платёжный шлюз и геолокацию. Такое разделение предотвращает размещение правил доступности водителя в интерфейсе или внешнем сервисе.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5.4 Последовательность: поиск машин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042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quence_basic_flow_part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4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5 – Последовательность: поиск машин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Первая фаза запрашивает доступные машины в радиусе пользователя. Чтение доступности возвращает состояние на момент запроса, поэтому отображение свободного водителя не гарантирует будущую поездку. Окончательное решение переносится в атомарный шаг назначения.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5.5 Последовательность: назначение водителя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610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quence_basic_flow_part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1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6 – Последовательность: назначение водителя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Во второй фазе контроллер пытается назначить выбранного водителя и создаёт заказ. Одна операция должна проверить отсутствие активного назначения или выполнения и зафиксировать назначение с </w:t>
      </w:r>
      <w:r>
        <w:rPr>
          <w:rFonts w:ascii="Times New Roman" w:hAnsi="Times New Roman" w:eastAsia="Times New Roman" w:cs="Times New Roman"/>
          <w:b w:val="0"/>
          <w:i/>
        </w:rPr>
        <w:t>TTL</w:t>
      </w:r>
      <w:r>
        <w:rPr>
          <w:rFonts w:ascii="Times New Roman" w:hAnsi="Times New Roman" w:eastAsia="Times New Roman" w:cs="Times New Roman"/>
          <w:b w:val="0"/>
          <w:i w:val="0"/>
        </w:rPr>
        <w:t>; при конфликте система возвращает занятость без частичного заказа. В распределённой реализации это требует транзакции или атомарной команды хранилища.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5.6 Последовательность: оплата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382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quence_basic_flow_part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38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7 – Последовательность: оплата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Оплата вынесена во внешний шлюз. Ответ подтверждается по ключу идемпотентности, после чего заказ переходит в оплаченный; отказ и истечение назначения освобождают водителя. Повторный </w:t>
      </w:r>
      <w:r>
        <w:rPr>
          <w:rFonts w:ascii="Times New Roman" w:hAnsi="Times New Roman" w:eastAsia="Times New Roman" w:cs="Times New Roman"/>
          <w:b w:val="0"/>
          <w:i/>
        </w:rPr>
        <w:t>callback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 должен создавать второй заказ. В модели явно разделены событие оплаты и внутренняя фиксация заказа.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5.7 Последовательность: выполнение поездки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9590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quence_basic_flow_part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59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8 – Последовательность: выполнение поездки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Выполнение поездки происходит после подтверждения оплаты и назначения. Сбой отслеживания не отменяет оплаченную поездку: система полагается на подтверждение от водителя. После завершения пассажир может оценить поездку. Отмена до начала освобождает водителя без штрафов.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5.8 Диаграмма кооперации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4065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llaboration_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06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9 – Диаграмма кооперации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Нумерованные сообщения показывают тот же основной сценарий покупки, что и четыре диаграммы последовательности. Разница представления полезна для контроля связности объектов: </w:t>
      </w:r>
      <w:r>
        <w:rPr>
          <w:rFonts w:ascii="Times New Roman" w:hAnsi="Times New Roman" w:eastAsia="Times New Roman" w:cs="Times New Roman"/>
          <w:b w:val="0"/>
          <w:i/>
        </w:rPr>
        <w:t>RideUI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 обращается напрямую к базе или шлюзу, а все изменения заказа идут через контроллер. Объекты в диаграмме соответствуют классам из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</w:t>
      </w:r>
      <w:r>
        <w:rPr>
          <w:rFonts w:ascii="Times New Roman" w:hAnsi="Times New Roman" w:eastAsia="Times New Roman" w:cs="Times New Roman"/>
          <w:b w:val="0"/>
          <w:i/>
        </w:rPr>
        <w:t>RideUI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RideController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Ride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Driver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Vehicle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Location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Payment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Rating</w:t>
      </w:r>
      <w:r>
        <w:rPr>
          <w:rFonts w:ascii="Times New Roman" w:hAnsi="Times New Roman" w:eastAsia="Times New Roman" w:cs="Times New Roman"/>
          <w:b w:val="0"/>
          <w:i w:val="0"/>
        </w:rPr>
        <w:t>).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5.9 Ключевые абстракции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7240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ey_abstr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24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10 – Ключевые абстракции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Ключевые абстракции выделены по предметной области таксопарка: пассажир, водитель, автомобиль, заказ, местоположение, платёж, оценка. Связи показывают основную модель данных: один водитель может выполнить много заказов, один заказ связан с одним автомобилем через водителя, один заказ имеет одно местоположение. Это базовая модель для реализации: таблицы базы данных или классы-сущности.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ЗАКЛЮЧЕНИЕ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Получена связанная модель из девяти диаграмм: прецеденты трассируются к классам анализа, четыре фазы последовательности и диаграмма кооперации описывают одну покупку. Для практической реализации необходимы транзакционное назначение водителя, идемпотентность платежей и очередь повторной доставки.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СПИСОК ИСПОЛЬЗОВАННЫХ ИСТОЧНИКОВ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Учебное пособие по UML,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materials/UML (2).pdf</w:t>
      </w:r>
      <w:r>
        <w:rPr>
          <w:rFonts w:ascii="Times New Roman" w:hAnsi="Times New Roman" w:eastAsia="Times New Roman" w:cs="Times New Roman"/>
          <w:b w:val="0"/>
          <w:i w:val="0"/>
        </w:rPr>
        <w:t>, глава 3 (стр. 53–105).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Образец ЛР 2,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materials/lab_2/REPORT_LAB_2.md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Исходники моделей ЛР 2,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materials/lab_2/diagrams/*.puml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sectPr w:rsidR="00FC693F" w:rsidRPr="0006063C" w:rsidSect="00034616">
      <w:headerReference w:type="default" r:id="rId11"/>
      <w:headerReference w:type="first" r:id="rId12"/>
      <w:footerReference w:type="first" r:id="rId1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г. Омск</w:t>
    </w:r>
  </w:p>
  <w:p>
    <w:pPr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2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Министерство науки и высшего образования РФ</w:t>
    </w:r>
  </w:p>
  <w:p>
    <w:pPr>
      <w:spacing w:before="60" w:after="24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федеральное государственное автономное образовательное учреждение высшего образования</w:t>
    </w:r>
  </w:p>
  <w:p>
    <w:pPr>
      <w:spacing w:before="0" w:after="0" w:line="240" w:lineRule="auto"/>
      <w:ind w:firstLine="0" w:left="206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«Омский государственный технический университет»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Факультет информационных технологий и компьютерных систем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360" w:lineRule="auto"/>
      <w:ind w:firstLine="0" w:left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="36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0" w:line="360" w:lineRule="auto"/>
      <w:ind w:firstLine="0" w:left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before="0" w:after="0" w:line="360" w:lineRule="auto"/>
      <w:ind w:left="0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pPr>
      <w:spacing w:before="0" w:after="0" w:line="360" w:lineRule="auto"/>
      <w:ind w:left="283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pPr>
      <w:spacing w:before="0" w:after="0" w:line="360" w:lineRule="auto"/>
      <w:ind w:left="567" w:firstLine="0"/>
    </w:pPr>
    <w:rPr>
      <w:rFonts w:ascii="Times New Roman" w:hAnsi="Times New Roman" w:eastAsia="Times New Roman" w:cs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