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Лабораторная работа</w:t>
      </w: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«Лабораторная работа № 2. Анализ требований и сценариев аэропорта»</w:t>
      </w: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 дисциплине «Программная инженерия»</w:t>
      </w:r>
    </w:p>
    <w:p>
      <w:pPr>
        <w:spacing w:before="24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0"/>
        <w:jc w:val="center"/>
      </w:pPr>
    </w:p>
    <w:p>
      <w:pPr>
        <w:spacing w:before="0" w:after="0" w:line="360" w:lineRule="auto"/>
        <w:ind w:firstLine="0" w:left="3540"/>
        <w:jc w:val="left"/>
      </w:pPr>
    </w:p>
    <w:p>
      <w:pPr>
        <w:spacing w:before="0" w:after="0" w:line="240" w:lineRule="auto"/>
        <w:ind w:firstLine="0" w:left="3118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Студента</w:t>
        <w:tab/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Шкурин Михаил Сергеевич</w:t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</w:t>
      </w:r>
    </w:p>
    <w:p>
      <w:pPr>
        <w:spacing w:before="0" w:after="0" w:line="360" w:lineRule="auto"/>
        <w:ind w:firstLine="0" w:left="312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Курс</w:t>
        <w:tab/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3</w:t>
      </w: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ab/>
        <w:tab/>
        <w:t>Группа</w:t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ФИТ-242</w:t>
      </w:r>
    </w:p>
    <w:p>
      <w:pPr>
        <w:spacing w:before="0" w:after="0" w:line="360" w:lineRule="auto"/>
        <w:ind w:hanging="1920" w:left="503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Направление</w:t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02.03.02 Фундаментальная информатика и информационные технологии</w:t>
      </w:r>
    </w:p>
    <w:p>
      <w:pPr>
        <w:spacing w:before="0" w:after="0" w:line="240" w:lineRule="auto"/>
        <w:ind w:firstLine="0" w:left="312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Проверил</w:t>
        <w:tab/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ассистент</w:t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</w:t>
      </w:r>
    </w:p>
    <w:p>
      <w:pPr>
        <w:spacing w:before="0" w:after="0" w:line="360" w:lineRule="auto"/>
        <w:ind w:firstLine="0" w:left="6406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8"/>
        </w:rPr>
        <w:t>должность</w:t>
      </w:r>
    </w:p>
    <w:p>
      <w:pPr>
        <w:spacing w:before="0" w:after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>Плескунов Д. А.</w:t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              </w:t>
      </w:r>
    </w:p>
    <w:p>
      <w:pPr>
        <w:spacing w:before="0" w:after="0" w:line="240" w:lineRule="auto"/>
        <w:ind w:firstLine="0" w:left="312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Выполнил</w:t>
        <w:tab/>
      </w: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                           </w:t>
      </w:r>
    </w:p>
    <w:p>
      <w:pPr>
        <w:spacing w:before="0" w:after="0" w:line="360" w:lineRule="auto"/>
        <w:ind w:firstLine="0" w:left="651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8"/>
        </w:rPr>
        <w:t>дата, подпись студента</w:t>
      </w:r>
    </w:p>
    <w:p>
      <w:pPr>
        <w:spacing w:before="0" w:after="0" w:line="240" w:lineRule="auto"/>
        <w:ind w:firstLine="0" w:left="5102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single"/>
        </w:rPr>
        <w:t xml:space="preserve">                                                       </w:t>
      </w:r>
    </w:p>
    <w:p>
      <w:pPr>
        <w:spacing w:before="0" w:after="0" w:line="240" w:lineRule="auto"/>
        <w:ind w:firstLine="0" w:left="600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18"/>
        </w:rPr>
        <w:t>дата, подпись преподавателя</w:t>
      </w:r>
    </w:p>
    <w:p>
      <w:pPr>
        <w:sectPr>
          <w:headerReference w:type="first" r:id="rId9"/>
          <w:footerReference w:type="first" r:id="rId10"/>
          <w:pgSz w:w="11909" w:h="16834"/>
          <w:pgMar w:top="1134" w:right="577" w:bottom="1106" w:left="1700" w:header="720" w:footer="720" w:gutter="0"/>
          <w:cols w:space="720"/>
          <w:titlePg/>
          <w:docGrid w:linePitch="360"/>
        </w:sectPr>
      </w:pPr>
    </w:p>
    <w:p>
      <w:pPr>
        <w:pStyle w:val="Heading1"/>
        <w:keepNext/>
        <w:pageBreakBefore w:val="0"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АННОТАЦИЯ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Отчёт описывает анализ требований и сценариев системы управления аэропортом. Девять воспроизводимых диаграмм охватывают прецеденты, трассировку, классы анализа </w:t>
      </w:r>
      <w:r>
        <w:rPr>
          <w:rFonts w:ascii="Times New Roman" w:hAnsi="Times New Roman" w:eastAsia="Times New Roman" w:cs="Times New Roman"/>
          <w:b w:val="0"/>
          <w:i/>
        </w:rPr>
        <w:t>VOPC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последовательности (4 фазы основного сценария покупки билетов), кооперацию и ключевые абстракции. Методология основана на главе 3 учебного пособия по </w:t>
      </w:r>
      <w:r>
        <w:rPr>
          <w:rFonts w:ascii="Times New Roman" w:hAnsi="Times New Roman" w:eastAsia="Times New Roman" w:cs="Times New Roman"/>
          <w:b w:val="0"/>
          <w:i/>
        </w:rPr>
        <w:t>UML</w:t>
      </w:r>
      <w:r>
        <w:rPr>
          <w:rFonts w:ascii="Times New Roman" w:hAnsi="Times New Roman" w:eastAsia="Times New Roman" w:cs="Times New Roman"/>
          <w:b w:val="0"/>
          <w:i w:val="0"/>
        </w:rPr>
        <w:t>.</w:t>
      </w:r>
    </w:p>
    <w:p>
      <w:pPr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СОДЕРЖАНИЕ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fldChar w:fldCharType="begin" w:dirty="true"/>
        <w:instrText xml:space="preserve"> TOC \o "1-3" \h \z \u </w:instrText>
        <w:fldChar w:fldCharType="separate"/>
        <w:fldChar w:fldCharType="end"/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ВВЕДЕНИЕ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Цель работы – применить метод анализа требований из главы 3 пособия [1] к системе управления аэропортом, выбранной для варианта 5 (Аэропорт). Задание следует методологии </w:t>
      </w:r>
      <w:r>
        <w:rPr>
          <w:rFonts w:ascii="Times New Roman" w:hAnsi="Times New Roman" w:eastAsia="Times New Roman" w:cs="Times New Roman"/>
          <w:b w:val="0"/>
          <w:i/>
        </w:rPr>
        <w:t>Rational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</w:t>
      </w:r>
      <w:r>
        <w:rPr>
          <w:rFonts w:ascii="Times New Roman" w:hAnsi="Times New Roman" w:eastAsia="Times New Roman" w:cs="Times New Roman"/>
          <w:b w:val="0"/>
          <w:i/>
        </w:rPr>
        <w:t>Rose/UML</w:t>
      </w:r>
      <w:r>
        <w:rPr>
          <w:rFonts w:ascii="Times New Roman" w:hAnsi="Times New Roman" w:eastAsia="Times New Roman" w:cs="Times New Roman"/>
          <w:b w:val="0"/>
          <w:i w:val="0"/>
        </w:rPr>
        <w:t xml:space="preserve">: архитектурный анализ, ключевые абстракции, реализация вариантов использования через </w:t>
      </w:r>
      <w:r>
        <w:rPr>
          <w:rFonts w:ascii="Times New Roman" w:hAnsi="Times New Roman" w:eastAsia="Times New Roman" w:cs="Times New Roman"/>
          <w:b w:val="0"/>
          <w:i/>
        </w:rPr>
        <w:t>VOPC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и диаграммы взаимодействия. Нативный проект </w:t>
      </w:r>
      <w:r>
        <w:rPr>
          <w:rFonts w:ascii="Times New Roman" w:hAnsi="Times New Roman" w:eastAsia="Times New Roman" w:cs="Times New Roman"/>
          <w:b w:val="0"/>
          <w:i/>
        </w:rPr>
        <w:t>CASE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-средства в репозитории отсутствует; модели представлены редактируемым </w:t>
      </w:r>
      <w:r>
        <w:rPr>
          <w:rFonts w:ascii="Times New Roman" w:hAnsi="Times New Roman" w:eastAsia="Times New Roman" w:cs="Times New Roman"/>
          <w:b w:val="0"/>
          <w:i/>
        </w:rPr>
        <w:t>PlantUML</w:t>
      </w:r>
      <w:r>
        <w:rPr>
          <w:rFonts w:ascii="Times New Roman" w:hAnsi="Times New Roman" w:eastAsia="Times New Roman" w:cs="Times New Roman"/>
          <w:b w:val="0"/>
          <w:i w:val="0"/>
        </w:rPr>
        <w:t>.</w:t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ОСНОВНАЯ ЧАСТЬ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1. </w:t>
      </w:r>
      <w:r>
        <w:rPr>
          <w:rFonts w:ascii="Times New Roman" w:hAnsi="Times New Roman" w:eastAsia="Times New Roman" w:cs="Times New Roman"/>
          <w:b/>
          <w:i w:val="0"/>
        </w:rPr>
        <w:t>Предметная область и требования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Пассажир ищет рейсы, покупает билеты, бронирует места, проходит онлайн регистрацию и получает посадочный талон. Система бронирования управляет доступностью мест, система оплаты обрабатывает транзакции, система регистрации назначает посадочные места.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2. </w:t>
      </w:r>
      <w:r>
        <w:rPr>
          <w:rFonts w:ascii="Times New Roman" w:hAnsi="Times New Roman" w:eastAsia="Times New Roman" w:cs="Times New Roman"/>
          <w:b/>
          <w:i w:val="0"/>
        </w:rPr>
        <w:t xml:space="preserve">Сценарий </w:t>
      </w:r>
      <w:r>
        <w:rPr>
          <w:rFonts w:ascii="Times New Roman" w:hAnsi="Times New Roman" w:eastAsia="Times New Roman" w:cs="Times New Roman"/>
          <w:b/>
          <w:i/>
        </w:rPr>
        <w:t>Purchase</w:t>
      </w:r>
      <w:r>
        <w:rPr>
          <w:rFonts w:ascii="Times New Roman" w:hAnsi="Times New Roman" w:eastAsia="Times New Roman" w:cs="Times New Roman"/>
          <w:b/>
          <w:i w:val="0"/>
        </w:rPr>
        <w:t xml:space="preserve"> </w:t>
      </w:r>
      <w:r>
        <w:rPr>
          <w:rFonts w:ascii="Times New Roman" w:hAnsi="Times New Roman" w:eastAsia="Times New Roman" w:cs="Times New Roman"/>
          <w:b/>
          <w:i/>
        </w:rPr>
        <w:t>Tickets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Предусловия: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пассажир имеет аккаунт в системе; есть доступные рейсы и места. </w:t>
      </w:r>
      <w:r>
        <w:rPr>
          <w:rFonts w:ascii="Times New Roman" w:hAnsi="Times New Roman" w:eastAsia="Times New Roman" w:cs="Times New Roman"/>
          <w:b/>
          <w:i w:val="0"/>
        </w:rPr>
        <w:t>Основной результат: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оплаченный билет с выбранным местом; пассажир видит детали рейса. </w:t>
      </w:r>
      <w:r>
        <w:rPr>
          <w:rFonts w:ascii="Times New Roman" w:hAnsi="Times New Roman" w:eastAsia="Times New Roman" w:cs="Times New Roman"/>
          <w:b/>
          <w:i w:val="0"/>
        </w:rPr>
        <w:t>Основной поток: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поиск рейсов; выбор рейса и места; бронирование; оплата; подтверждение; получение электронного билета. </w:t>
      </w:r>
      <w:r>
        <w:rPr>
          <w:rFonts w:ascii="Times New Roman" w:hAnsi="Times New Roman" w:eastAsia="Times New Roman" w:cs="Times New Roman"/>
          <w:b/>
          <w:i w:val="0"/>
        </w:rPr>
        <w:t>Альтернативы: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нет доступных рейсов – повторный поиск; отказ оплаты – бронирование отменяется через </w:t>
      </w:r>
      <w:r>
        <w:rPr>
          <w:rFonts w:ascii="Times New Roman" w:hAnsi="Times New Roman" w:eastAsia="Times New Roman" w:cs="Times New Roman"/>
          <w:b w:val="0"/>
          <w:i/>
        </w:rPr>
        <w:t>TTL</w:t>
      </w:r>
      <w:r>
        <w:rPr>
          <w:rFonts w:ascii="Times New Roman" w:hAnsi="Times New Roman" w:eastAsia="Times New Roman" w:cs="Times New Roman"/>
          <w:b w:val="0"/>
          <w:i w:val="0"/>
        </w:rPr>
        <w:t>; отмена пассажиром до оплаты – освобождение места; сбой оплаты – повторная попытка.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3. </w:t>
      </w:r>
      <w:r>
        <w:rPr>
          <w:rFonts w:ascii="Times New Roman" w:hAnsi="Times New Roman" w:eastAsia="Times New Roman" w:cs="Times New Roman"/>
          <w:b/>
          <w:i w:val="0"/>
        </w:rPr>
        <w:t>Соглашения по моделированию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3.1 Именование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Имена вариантов использования – короткие глагольные фразы на русском языке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Имена классов – существительные на английском языке, начинаются с заглавной буквы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Имена атрибутов и операций – с маленькой буквы, </w:t>
      </w:r>
      <w:r>
        <w:rPr>
          <w:rFonts w:ascii="Times New Roman" w:hAnsi="Times New Roman" w:eastAsia="Times New Roman" w:cs="Times New Roman"/>
          <w:b w:val="0"/>
          <w:i/>
        </w:rPr>
        <w:t>camelCase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Составные имена – без подчёркиваний, каждое слово с заглавной (</w:t>
      </w:r>
      <w:r>
        <w:rPr>
          <w:rFonts w:ascii="Times New Roman" w:hAnsi="Times New Roman" w:eastAsia="Times New Roman" w:cs="Times New Roman"/>
          <w:b w:val="0"/>
          <w:i/>
        </w:rPr>
        <w:t>CamelCase</w:t>
      </w:r>
      <w:r>
        <w:rPr>
          <w:rFonts w:ascii="Times New Roman" w:hAnsi="Times New Roman" w:eastAsia="Times New Roman" w:cs="Times New Roman"/>
          <w:b w:val="0"/>
          <w:i w:val="0"/>
        </w:rPr>
        <w:t>)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3.2 Организация модели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Пакет </w:t>
      </w:r>
      <w:r>
        <w:rPr>
          <w:rFonts w:ascii="Times New Roman" w:hAnsi="Times New Roman" w:eastAsia="Times New Roman" w:cs="Times New Roman"/>
          <w:b w:val="0"/>
          <w:i/>
        </w:rPr>
        <w:t>Design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</w:t>
      </w:r>
      <w:r>
        <w:rPr>
          <w:rFonts w:ascii="Times New Roman" w:hAnsi="Times New Roman" w:eastAsia="Times New Roman" w:cs="Times New Roman"/>
          <w:b w:val="0"/>
          <w:i/>
        </w:rPr>
        <w:t>Model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содержит все аналитические модели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Пакет </w:t>
      </w:r>
      <w:r>
        <w:rPr>
          <w:rFonts w:ascii="Times New Roman" w:hAnsi="Times New Roman" w:eastAsia="Times New Roman" w:cs="Times New Roman"/>
          <w:b w:val="0"/>
          <w:i/>
        </w:rPr>
        <w:t>Use-Case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</w:t>
      </w:r>
      <w:r>
        <w:rPr>
          <w:rFonts w:ascii="Times New Roman" w:hAnsi="Times New Roman" w:eastAsia="Times New Roman" w:cs="Times New Roman"/>
          <w:b w:val="0"/>
          <w:i/>
        </w:rPr>
        <w:t>Realizations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содержит реализации прецедентов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Для каждого прецедента создаётся пакет </w:t>
      </w:r>
      <w:r>
        <w:rPr>
          <w:rFonts w:ascii="Times New Roman" w:hAnsi="Times New Roman" w:eastAsia="Times New Roman" w:cs="Times New Roman"/>
          <w:b w:val="0"/>
          <w:i/>
        </w:rPr>
        <w:t>Use-Case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</w:t>
      </w:r>
      <w:r>
        <w:rPr>
          <w:rFonts w:ascii="Times New Roman" w:hAnsi="Times New Roman" w:eastAsia="Times New Roman" w:cs="Times New Roman"/>
          <w:b w:val="0"/>
          <w:i/>
        </w:rPr>
        <w:t>Realization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Name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В каждой реализации – кооперация с именем прецедента и стереотипом &lt;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use-case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</w:t>
      </w:r>
      <w:r>
        <w:rPr>
          <w:rFonts w:ascii="Times New Roman" w:hAnsi="Times New Roman" w:eastAsia="Times New Roman" w:cs="Times New Roman"/>
          <w:b w:val="0"/>
          <w:i/>
        </w:rPr>
        <w:t>realization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Диаграмма </w:t>
      </w:r>
      <w:r>
        <w:rPr>
          <w:rFonts w:ascii="Times New Roman" w:hAnsi="Times New Roman" w:eastAsia="Times New Roman" w:cs="Times New Roman"/>
          <w:b w:val="0"/>
          <w:i/>
        </w:rPr>
        <w:t>VOPC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внутри каждой кооперации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3.3 Стереотипы классов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Boundary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  <w:r>
        <w:rPr>
          <w:rFonts w:ascii="Times New Roman" w:hAnsi="Times New Roman" w:eastAsia="Times New Roman" w:cs="Times New Roman"/>
          <w:b w:val="0"/>
          <w:i w:val="0"/>
        </w:rPr>
        <w:t>&gt; – граничные классы (</w:t>
      </w:r>
      <w:r>
        <w:rPr>
          <w:rFonts w:ascii="Times New Roman" w:hAnsi="Times New Roman" w:eastAsia="Times New Roman" w:cs="Times New Roman"/>
          <w:b w:val="0"/>
          <w:i/>
        </w:rPr>
        <w:t>UI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API</w:t>
      </w:r>
      <w:r>
        <w:rPr>
          <w:rFonts w:ascii="Times New Roman" w:hAnsi="Times New Roman" w:eastAsia="Times New Roman" w:cs="Times New Roman"/>
          <w:b w:val="0"/>
          <w:i w:val="0"/>
        </w:rPr>
        <w:t>)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Control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  <w:r>
        <w:rPr>
          <w:rFonts w:ascii="Times New Roman" w:hAnsi="Times New Roman" w:eastAsia="Times New Roman" w:cs="Times New Roman"/>
          <w:b w:val="0"/>
          <w:i w:val="0"/>
        </w:rPr>
        <w:t>&gt; – управляющие классы (контроллеры)</w:t>
      </w:r>
    </w:p>
    <w:p>
      <w:pPr>
        <w:spacing w:before="0" w:after="0" w:line="288" w:lineRule="auto"/>
        <w:ind w:firstLine="0" w:left="425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• 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Entity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  <w:r>
        <w:rPr>
          <w:rFonts w:ascii="Times New Roman" w:hAnsi="Times New Roman" w:eastAsia="Times New Roman" w:cs="Times New Roman"/>
          <w:b w:val="0"/>
          <w:i w:val="0"/>
        </w:rPr>
        <w:t>&gt; – классы-сущности (предметные объекты)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4. </w:t>
      </w:r>
      <w:r>
        <w:rPr>
          <w:rFonts w:ascii="Times New Roman" w:hAnsi="Times New Roman" w:eastAsia="Times New Roman" w:cs="Times New Roman"/>
          <w:b/>
          <w:i w:val="0"/>
        </w:rPr>
        <w:t>Ключевые абстракции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8316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key_abstr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316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 – Ключевые абстракции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/>
        </w:rPr>
        <w:t>Passenger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пассажир, покупающий билеты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>Flight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рейс, на который покупается билет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>Seat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место в самолёте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>Booking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бронирование билета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>Payment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платёжная информация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>BoardingPass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посадочный талон</w:t>
      </w:r>
      <w:r>
        <w:br/>
      </w:r>
      <w:r>
        <w:rPr>
          <w:rFonts w:ascii="Times New Roman" w:hAnsi="Times New Roman" w:eastAsia="Times New Roman" w:cs="Times New Roman"/>
          <w:b w:val="0"/>
          <w:i/>
        </w:rPr>
        <w:t>Airport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– аэропорт (взлётно-посадочная полоса, терминал)</w:t>
      </w:r>
    </w:p>
    <w:p>
      <w:pPr>
        <w:pStyle w:val="Heading2"/>
        <w:keepNext/>
        <w:spacing w:before="36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</w:rPr>
        <w:t xml:space="preserve">5. </w:t>
      </w:r>
      <w:r>
        <w:rPr>
          <w:rFonts w:ascii="Times New Roman" w:hAnsi="Times New Roman" w:eastAsia="Times New Roman" w:cs="Times New Roman"/>
          <w:b/>
          <w:i w:val="0"/>
        </w:rPr>
        <w:t>Диаграммы и решения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5.1 Диаграмма вариантов использования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406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use_case_dia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40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2 – Диаграмма вариантов использования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Граница системы охватывает покупку билетов и онлайн регистрацию. Пассажир – основной пользователь внешних систем (платёжный шлюз, система бронирования, система регистрации) показаны отдельными актёрами для интерфейсов. &lt;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include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  <w:r>
        <w:rPr>
          <w:rFonts w:ascii="Times New Roman" w:hAnsi="Times New Roman" w:eastAsia="Times New Roman" w:cs="Times New Roman"/>
          <w:b w:val="0"/>
          <w:i w:val="0"/>
        </w:rPr>
        <w:t>&gt; означает обязательные шаги (поиск, бронирование, выбор места, получение талона), &lt;</w:t>
      </w:r>
      <w:r>
        <w:rPr>
          <w:rFonts w:ascii="Times New Roman" w:hAnsi="Times New Roman" w:eastAsia="Times New Roman" w:cs="Times New Roman"/>
          <w:b w:val="0"/>
          <w:i w:val="0"/>
        </w:rPr>
        <w:t>&lt;</w:t>
      </w:r>
      <w:r>
        <w:rPr>
          <w:rFonts w:ascii="Times New Roman" w:hAnsi="Times New Roman" w:eastAsia="Times New Roman" w:cs="Times New Roman"/>
          <w:b w:val="0"/>
          <w:i/>
        </w:rPr>
        <w:t>extend</w:t>
      </w:r>
      <w:r>
        <w:rPr>
          <w:rFonts w:ascii="Times New Roman" w:hAnsi="Times New Roman" w:eastAsia="Times New Roman" w:cs="Times New Roman"/>
          <w:b w:val="0"/>
          <w:i w:val="0"/>
        </w:rPr>
        <w:t>&gt;</w:t>
      </w:r>
      <w:r>
        <w:rPr>
          <w:rFonts w:ascii="Times New Roman" w:hAnsi="Times New Roman" w:eastAsia="Times New Roman" w:cs="Times New Roman"/>
          <w:b w:val="0"/>
          <w:i w:val="0"/>
        </w:rPr>
        <w:t>&gt; – условные действия (управление бронированием, отмена регистрации). Обобщение актёров исключает дублирование сценария покупки.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5.2 Трассировка прецедентов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2659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raceabilities_dia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65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 – Трассировка прецедентов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Каждый существенный прецедент связан с реализацией и конкретными классами проектной модели. Эта связь нужна для проверки покрытия: изменение шага </w:t>
      </w:r>
      <w:r>
        <w:rPr>
          <w:rFonts w:ascii="Times New Roman" w:hAnsi="Times New Roman" w:eastAsia="Times New Roman" w:cs="Times New Roman"/>
          <w:b w:val="0"/>
          <w:i/>
        </w:rPr>
        <w:t>Purchase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</w:t>
      </w:r>
      <w:r>
        <w:rPr>
          <w:rFonts w:ascii="Times New Roman" w:hAnsi="Times New Roman" w:eastAsia="Times New Roman" w:cs="Times New Roman"/>
          <w:b w:val="0"/>
          <w:i/>
        </w:rPr>
        <w:t>Tickets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требует пересмотра </w:t>
      </w:r>
      <w:r>
        <w:rPr>
          <w:rFonts w:ascii="Times New Roman" w:hAnsi="Times New Roman" w:eastAsia="Times New Roman" w:cs="Times New Roman"/>
          <w:b w:val="0"/>
          <w:i/>
        </w:rPr>
        <w:t>BookingController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w:r>
        <w:rPr>
          <w:rFonts w:ascii="Times New Roman" w:hAnsi="Times New Roman" w:eastAsia="Times New Roman" w:cs="Times New Roman"/>
          <w:b w:val="0"/>
          <w:i/>
        </w:rPr>
        <w:t>Booking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а изменение логики регистрации – </w:t>
      </w:r>
      <w:r>
        <w:rPr>
          <w:rFonts w:ascii="Times New Roman" w:hAnsi="Times New Roman" w:eastAsia="Times New Roman" w:cs="Times New Roman"/>
          <w:b w:val="0"/>
          <w:i/>
        </w:rPr>
        <w:t>CheckinController</w:t>
      </w:r>
      <w:r>
        <w:rPr>
          <w:rFonts w:ascii="Times New Roman" w:hAnsi="Times New Roman" w:eastAsia="Times New Roman" w:cs="Times New Roman"/>
          <w:b w:val="0"/>
          <w:i w:val="0"/>
        </w:rPr>
        <w:t>. Трассировка не заменяет исполняемые тесты, но показывает, какие артефакты должны меняться совместно.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 xml:space="preserve">5.3 Классы анализа </w:t>
      </w:r>
      <w:r>
        <w:rPr>
          <w:rFonts w:ascii="Times New Roman" w:hAnsi="Times New Roman" w:eastAsia="Times New Roman" w:cs="Times New Roman"/>
          <w:b w:val="0"/>
          <w:i/>
        </w:rPr>
        <w:t>VOPC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83368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opc_analysis_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336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Рисунок 4 – Классы анализа </w:t>
      </w:r>
      <w:r>
        <w:rPr>
          <w:rFonts w:ascii="Times New Roman" w:hAnsi="Times New Roman" w:eastAsia="Times New Roman" w:cs="Times New Roman"/>
          <w:b w:val="0"/>
          <w:i/>
          <w:sz w:val="28"/>
        </w:rPr>
        <w:t>VOPC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Граничный </w:t>
      </w:r>
      <w:r>
        <w:rPr>
          <w:rFonts w:ascii="Times New Roman" w:hAnsi="Times New Roman" w:eastAsia="Times New Roman" w:cs="Times New Roman"/>
          <w:b w:val="0"/>
          <w:i/>
        </w:rPr>
        <w:t>BookingUI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принимает действия пользователя, </w:t>
      </w:r>
      <w:r>
        <w:rPr>
          <w:rFonts w:ascii="Times New Roman" w:hAnsi="Times New Roman" w:eastAsia="Times New Roman" w:cs="Times New Roman"/>
          <w:b w:val="0"/>
          <w:i/>
        </w:rPr>
        <w:t>BookingController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координирует сценарий, а </w:t>
      </w:r>
      <w:r>
        <w:rPr>
          <w:rFonts w:ascii="Times New Roman" w:hAnsi="Times New Roman" w:eastAsia="Times New Roman" w:cs="Times New Roman"/>
          <w:b w:val="0"/>
          <w:i/>
        </w:rPr>
        <w:t>Booking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Flight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Seat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Payment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и </w:t>
      </w:r>
      <w:r>
        <w:rPr>
          <w:rFonts w:ascii="Times New Roman" w:hAnsi="Times New Roman" w:eastAsia="Times New Roman" w:cs="Times New Roman"/>
          <w:b w:val="0"/>
          <w:i/>
        </w:rPr>
        <w:t>BoardingPass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хранят предметные состояния. Граничные классы изолируют платёжный шлюз и систему бронирования. Такое разделение предотвращает размещение правил доступности места в интерфейсе или внешнем сервисе.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5.4 Последовательность: поиск рейсов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quence_basic_flow_part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5 – Последовательность: поиск рейсов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Первая фаза запрашивает доступные рейсы по критериям пользователя. Чтение доступности возвращает состояние на момент запроса, поэтому отображение свободного места не гарантирует будущую покупку. Окончательное решение переносится в атомарный шаг бронирования.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5.5 Последовательность: бронирование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984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equence_basic_flow_part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984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6 – Последовательность: бронирование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Во второй фазе контроллер пытается забронировать выбранное место и создаёт бронирование. Одна операция должна проверить отсутствие активного бронирования и зафиксировать бронирование с </w:t>
      </w:r>
      <w:r>
        <w:rPr>
          <w:rFonts w:ascii="Times New Roman" w:hAnsi="Times New Roman" w:eastAsia="Times New Roman" w:cs="Times New Roman"/>
          <w:b w:val="0"/>
          <w:i/>
        </w:rPr>
        <w:t>TTL</w:t>
      </w:r>
      <w:r>
        <w:rPr>
          <w:rFonts w:ascii="Times New Roman" w:hAnsi="Times New Roman" w:eastAsia="Times New Roman" w:cs="Times New Roman"/>
          <w:b w:val="0"/>
          <w:i w:val="0"/>
        </w:rPr>
        <w:t>; при конфликте система возвращает занятость без частичного бронирования. В распределённой реализации это требует транзакции или атомарной команды хранилища.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5.6 Последовательность: оплата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3785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equence_basic_flow_part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78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7 – Последовательность: оплата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Оплата вынесена во внешний шлюз. Ответ подтверждается по ключу идемпотентности, после чего бронирование переходит в оплаченное; отказ и истечение бронирования освобождают место. Повторный </w:t>
      </w:r>
      <w:r>
        <w:rPr>
          <w:rFonts w:ascii="Times New Roman" w:hAnsi="Times New Roman" w:eastAsia="Times New Roman" w:cs="Times New Roman"/>
          <w:b w:val="0"/>
          <w:i/>
        </w:rPr>
        <w:t>callback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не должен создавать второе бронирование. В модели явно разделены событие оплаты и внутренняя фиксация бронирования.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5.7 Последовательность: регистрация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907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equence_basic_flow_part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90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8 – Последовательность: регистрация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Регистрация происходит после подтверждения оплаты и бронирования. Сбой генерации талона не отменяет оплаченный билет: система полагается на подтверждение от системы регистрации. После завершения пассажир получает посадочный талон. Отмена до начала освобождает место без штрафов.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5.8 Диаграмма кооперации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492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ollaboration_diagra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492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9 – Диаграмма кооперации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Нумерованные сообщения показывают тот же основной сценарий покупки, что и четыре диаграммы последовательности. Разница представления полезна для контроля связности объектов: </w:t>
      </w:r>
      <w:r>
        <w:rPr>
          <w:rFonts w:ascii="Times New Roman" w:hAnsi="Times New Roman" w:eastAsia="Times New Roman" w:cs="Times New Roman"/>
          <w:b w:val="0"/>
          <w:i/>
        </w:rPr>
        <w:t>BookingUI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не обращается напрямую к базе или шлюзу, а все изменения бронирования идут через контроллер. Объекты в диаграмме соответствуют классам из </w:t>
      </w:r>
      <w:r>
        <w:rPr>
          <w:rFonts w:ascii="Times New Roman" w:hAnsi="Times New Roman" w:eastAsia="Times New Roman" w:cs="Times New Roman"/>
          <w:b w:val="0"/>
          <w:i/>
        </w:rPr>
        <w:t>VOPC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(</w:t>
      </w:r>
      <w:r>
        <w:rPr>
          <w:rFonts w:ascii="Times New Roman" w:hAnsi="Times New Roman" w:eastAsia="Times New Roman" w:cs="Times New Roman"/>
          <w:b w:val="0"/>
          <w:i/>
        </w:rPr>
        <w:t>BookingUI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BookingController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Booking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Flight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Seat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Payment</w:t>
      </w:r>
      <w:r>
        <w:rPr>
          <w:rFonts w:ascii="Times New Roman" w:hAnsi="Times New Roman" w:eastAsia="Times New Roman" w:cs="Times New Roman"/>
          <w:b w:val="0"/>
          <w:i w:val="0"/>
        </w:rPr>
        <w:t xml:space="preserve">, </w:t>
      </w:r>
      <w:r>
        <w:rPr>
          <w:rFonts w:ascii="Times New Roman" w:hAnsi="Times New Roman" w:eastAsia="Times New Roman" w:cs="Times New Roman"/>
          <w:b w:val="0"/>
          <w:i/>
        </w:rPr>
        <w:t>BoardingPass</w:t>
      </w:r>
      <w:r>
        <w:rPr>
          <w:rFonts w:ascii="Times New Roman" w:hAnsi="Times New Roman" w:eastAsia="Times New Roman" w:cs="Times New Roman"/>
          <w:b w:val="0"/>
          <w:i w:val="0"/>
        </w:rPr>
        <w:t>).</w:t>
      </w:r>
    </w:p>
    <w:p>
      <w:pPr>
        <w:pStyle w:val="Heading3"/>
        <w:keepNext/>
        <w:spacing w:before="320" w:after="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</w:rPr>
        <w:t>5.9 Ключевые абстракции</w:t>
      </w:r>
    </w:p>
    <w:p/>
    <w:p>
      <w:pPr>
        <w:keepNext/>
        <w:keepLines/>
        <w:spacing w:before="0" w:after="0" w:line="288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831650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key_abstr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316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88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10 – Ключевые абстракции</w:t>
      </w:r>
    </w:p>
    <w:p/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</w:rPr>
        <w:t>Инженерное обоснование.</w:t>
      </w:r>
      <w:r>
        <w:rPr>
          <w:rFonts w:ascii="Times New Roman" w:hAnsi="Times New Roman" w:eastAsia="Times New Roman" w:cs="Times New Roman"/>
          <w:b w:val="0"/>
          <w:i w:val="0"/>
        </w:rPr>
        <w:t xml:space="preserve"> Ключевые абстракции выделены по предметной области аэропорта: пассажир, рейс, место, бронирование, платёж, посадочный талон, аэропорт. Связи показывают основную модель данных: один рейс имеет много мест, одно место может быть забронировано, одно бронирование связано с одним рейсом и одним местом, одно бронирование имеет один платёж и один посадочный талон. Это базовая модель для реализации: таблицы базы данных или классы-сущности.</w:t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ЗАКЛЮЧЕНИЕ</w:t>
      </w:r>
    </w:p>
    <w:p>
      <w:pPr>
        <w:spacing w:before="0" w:after="0" w:line="288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>Получена связанная модель из девяти диаграмм: прецеденты трассируются к классам анализа, четыре фазы последовательности и диаграмма кооперации описывают одну покупку билета. Для практической реализации необходимы транзакционное бронирование места, идемпотентность платежей и очередь повторной доставки.</w:t>
      </w:r>
    </w:p>
    <w:p>
      <w:pPr>
        <w:pStyle w:val="Heading1"/>
        <w:keepNext/>
        <w:pageBreakBefore/>
        <w:spacing w:before="400" w:after="12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</w:rPr>
        <w:t>СПИСОК ИСПОЛЬЗОВАННЫХ ИСТОЧНИКОВ</w:t>
      </w:r>
    </w:p>
    <w:p>
      <w:pPr>
        <w:spacing w:before="0" w:after="0" w:line="288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1.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Учебное пособие по UML, </w:t>
      </w:r>
      <w:r>
        <w:rPr>
          <w:rFonts w:ascii="DejaVu Sans" w:hAnsi="DejaVu Sans" w:eastAsia="DejaVu Sans" w:cs="DejaVu Sans"/>
          <w:b w:val="0"/>
          <w:i w:val="0"/>
          <w:sz w:val="22"/>
        </w:rPr>
        <w:t>materials/UML (2).pdf</w:t>
      </w:r>
      <w:r>
        <w:rPr>
          <w:rFonts w:ascii="Times New Roman" w:hAnsi="Times New Roman" w:eastAsia="Times New Roman" w:cs="Times New Roman"/>
          <w:b w:val="0"/>
          <w:i w:val="0"/>
        </w:rPr>
        <w:t>, глава 3 (стр. 53–105).</w:t>
      </w:r>
    </w:p>
    <w:p>
      <w:pPr>
        <w:spacing w:before="0" w:after="0" w:line="288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2.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Образец ЛР 2, </w:t>
      </w:r>
      <w:r>
        <w:rPr>
          <w:rFonts w:ascii="DejaVu Sans" w:hAnsi="DejaVu Sans" w:eastAsia="DejaVu Sans" w:cs="DejaVu Sans"/>
          <w:b w:val="0"/>
          <w:i w:val="0"/>
          <w:sz w:val="22"/>
        </w:rPr>
        <w:t>materials/lab_2/REPORT_LAB_2.md</w:t>
      </w:r>
      <w:r>
        <w:rPr>
          <w:rFonts w:ascii="Times New Roman" w:hAnsi="Times New Roman" w:eastAsia="Times New Roman" w:cs="Times New Roman"/>
          <w:b w:val="0"/>
          <w:i w:val="0"/>
        </w:rPr>
        <w:t>.</w:t>
      </w:r>
    </w:p>
    <w:p>
      <w:pPr>
        <w:spacing w:before="0" w:after="0" w:line="288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</w:rPr>
        <w:t xml:space="preserve">3. </w:t>
      </w:r>
      <w:r>
        <w:rPr>
          <w:rFonts w:ascii="Times New Roman" w:hAnsi="Times New Roman" w:eastAsia="Times New Roman" w:cs="Times New Roman"/>
          <w:b w:val="0"/>
          <w:i w:val="0"/>
        </w:rPr>
        <w:t xml:space="preserve">Исходники моделей ЛР 2, </w:t>
      </w:r>
      <w:r>
        <w:rPr>
          <w:rFonts w:ascii="DejaVu Sans" w:hAnsi="DejaVu Sans" w:eastAsia="DejaVu Sans" w:cs="DejaVu Sans"/>
          <w:b w:val="0"/>
          <w:i w:val="0"/>
          <w:sz w:val="22"/>
        </w:rPr>
        <w:t>materials/lab_2/diagrams/*.puml</w:t>
      </w:r>
      <w:r>
        <w:rPr>
          <w:rFonts w:ascii="Times New Roman" w:hAnsi="Times New Roman" w:eastAsia="Times New Roman" w:cs="Times New Roman"/>
          <w:b w:val="0"/>
          <w:i w:val="0"/>
        </w:rPr>
        <w:t>.</w:t>
      </w:r>
    </w:p>
    <w:sectPr w:rsidR="00FC693F" w:rsidRPr="0006063C" w:rsidSect="00034616">
      <w:headerReference w:type="default" r:id="rId11"/>
      <w:headerReference w:type="first" r:id="rId12"/>
      <w:footerReference w:type="first" r:id="rId13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36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8"/>
      </w:rPr>
      <w:t>г. Омск</w:t>
    </w:r>
  </w:p>
  <w:p>
    <w:pPr>
      <w:spacing w:before="0" w:after="0" w:line="36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8"/>
      </w:rPr>
      <w:t>2026 г.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20" w:after="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Министерство науки и высшего образования РФ</w:t>
    </w:r>
  </w:p>
  <w:p>
    <w:pPr>
      <w:spacing w:before="60" w:after="24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федеральное государственное автономное образовательное учреждение высшего образования</w:t>
    </w:r>
  </w:p>
  <w:p>
    <w:pPr>
      <w:spacing w:before="0" w:after="0" w:line="240" w:lineRule="auto"/>
      <w:ind w:firstLine="0" w:left="206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«Омский государственный технический университет»</w:t>
    </w:r>
  </w:p>
  <w:p>
    <w:pPr>
      <w:spacing w:before="240" w:after="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Факультет информационных технологий и компьютерных систем</w:t>
    </w:r>
  </w:p>
  <w:p>
    <w:pPr>
      <w:spacing w:before="240" w:after="0" w:line="240" w:lineRule="auto"/>
      <w:ind w:firstLine="0" w:left="0"/>
      <w:jc w:val="center"/>
    </w:pPr>
    <w:r>
      <w:rPr>
        <w:rFonts w:ascii="Times New Roman" w:hAnsi="Times New Roman" w:eastAsia="Times New Roman" w:cs="Times New Roman"/>
        <w:b w:val="0"/>
        <w:i w:val="0"/>
        <w:sz w:val="24"/>
      </w:rPr>
      <w:t>Кафедра «Прикладная математика и фундаментальная информатика»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88" w:lineRule="auto"/>
      <w:ind w:firstLine="709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 w:line="360" w:lineRule="auto"/>
      <w:ind w:firstLine="0" w:left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0" w:line="360" w:lineRule="auto"/>
      <w:ind w:firstLine="0" w:left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0" w:line="360" w:lineRule="auto"/>
      <w:ind w:firstLine="0" w:left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43434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spacing w:before="0" w:after="0" w:line="360" w:lineRule="auto"/>
      <w:ind w:left="0" w:firstLine="0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2">
    <w:name w:val="TOC 2"/>
    <w:pPr>
      <w:spacing w:before="0" w:after="0" w:line="360" w:lineRule="auto"/>
      <w:ind w:left="283" w:firstLine="0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3">
    <w:name w:val="TOC 3"/>
    <w:pPr>
      <w:spacing w:before="0" w:after="0" w:line="360" w:lineRule="auto"/>
      <w:ind w:left="567" w:firstLine="0"/>
    </w:pPr>
    <w:rPr>
      <w:rFonts w:ascii="Times New Roman" w:hAnsi="Times New Roman" w:eastAsia="Times New Roman" w:cs="Times New Roman"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