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/>
        <w:jc w:val="center"/>
      </w:pPr>
      <w:r>
        <w:rPr>
          <w:rFonts w:ascii="Microsoft YaHei" w:hAnsi="Microsoft YaHei" w:eastAsia="Microsoft YaHei"/>
          <w:b/>
          <w:sz w:val="48"/>
        </w:rPr>
        <w:t>AI辅助教学评价系统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验收演示数据与操作手册</w:t>
      </w:r>
    </w:p>
    <w:p>
      <w:pPr>
        <w:spacing w:before="440"/>
        <w:jc w:val="center"/>
      </w:pPr>
      <w:r>
        <w:rPr>
          <w:rFonts w:ascii="Microsoft YaHei" w:hAnsi="Microsoft YaHei" w:eastAsia="Microsoft YaHei"/>
          <w:b w:val="0"/>
          <w:sz w:val="22"/>
        </w:rPr>
        <w:t>适用版本：完整演示数据集（--full-demo）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数据库：SQLite  |  前端：5173  |  后端：8000  |  AI服务：8001</w:t>
      </w:r>
    </w:p>
    <w:p>
      <w:r>
        <w:br w:type="page"/>
      </w:r>
    </w:p>
    <w:p>
      <w:pPr>
        <w:pStyle w:val="Heading1"/>
      </w:pPr>
      <w:r>
        <w:t>1. 演示前准备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关闭正在运行的后端和前端服务，避免数据库被占用。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打开 PowerShell，进入项目根目录：D:\aiteaching\code\ai-teaching-evaluation-system。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如需保留当前数据库，先复制 backend\app.db；后续完整重建会覆盖该文件。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执行完整演示数据重建命令。命令完成后，不再手工导入成绩文件，以免改变验收数据。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backend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..\.venv\Scripts\python.exe -m app.seed --full-demo</w:t>
            </w:r>
          </w:p>
        </w:tc>
      </w:tr>
    </w:tbl>
    <w:p>
      <w:r>
        <w:rPr>
          <w:rFonts w:ascii="Microsoft YaHei" w:hAnsi="Microsoft YaHei" w:eastAsia="Microsoft YaHei"/>
          <w:b/>
        </w:rPr>
        <w:t>完成标志：</w:t>
      </w:r>
      <w:r>
        <w:rPr>
          <w:rFonts w:ascii="Microsoft YaHei" w:hAnsi="Microsoft YaHei" w:eastAsia="Microsoft YaHei"/>
          <w:b w:val="0"/>
        </w:rPr>
        <w:t>终端显示 [demo-data] 生成完成；数据库已包含五门课程的完整过程数据。</w:t>
      </w:r>
    </w:p>
    <w:p>
      <w:pPr>
        <w:pStyle w:val="Heading1"/>
      </w:pPr>
      <w:r>
        <w:t>2. 演示数据设计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872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208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设计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课程</w:t>
            </w:r>
          </w:p>
        </w:tc>
        <w:tc>
          <w:tcPr>
            <w:tcW w:type="dxa" w:w="82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计算机网络、操作系统、数据结构、软件工程、概率论与数理统计</w:t>
            </w:r>
          </w:p>
        </w:tc>
      </w:tr>
      <w:tr>
        <w:tc>
          <w:tcPr>
            <w:tcW w:type="dxa" w:w="1872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考核顺序</w:t>
            </w:r>
          </w:p>
        </w:tc>
        <w:tc>
          <w:tcPr>
            <w:tcW w:type="dxa" w:w="8208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平时作业 → 实验实践 → 期中考试 → 期末考试；期末固定最后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覆盖量</w:t>
            </w:r>
          </w:p>
        </w:tc>
        <w:tc>
          <w:tcPr>
            <w:tcW w:type="dxa" w:w="82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299 条选课关系、1,196 条成绩、299 条考勤、299 条课堂参与、1,496 条知识点掌握度</w:t>
            </w:r>
          </w:p>
        </w:tc>
      </w:tr>
      <w:tr>
        <w:tc>
          <w:tcPr>
            <w:tcW w:type="dxa" w:w="1872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评分状态</w:t>
            </w:r>
          </w:p>
        </w:tc>
        <w:tc>
          <w:tcPr>
            <w:tcW w:type="dxa" w:w="8208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多数学生为良好或优秀；主演示学生为正向案例</w:t>
            </w:r>
          </w:p>
        </w:tc>
      </w:tr>
      <w:tr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预警状态</w:t>
            </w:r>
          </w:p>
        </w:tc>
        <w:tc>
          <w:tcPr>
            <w:tcW w:type="dxa" w:w="82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每门课程仅保留 1 条下滑风险案例，共 5 条，用于演示预警与约谈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440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2880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用户名/密码</w:t>
            </w:r>
          </w:p>
        </w:tc>
        <w:tc>
          <w:tcPr>
            <w:tcW w:type="dxa" w:w="5760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演示用途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管理员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admin / 123456</w:t>
            </w:r>
          </w:p>
        </w:tc>
        <w:tc>
          <w:tcPr>
            <w:tcW w:type="dxa" w:w="5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用户、数据、日志、报告中心</w:t>
            </w:r>
          </w:p>
        </w:tc>
      </w:tr>
      <w:tr>
        <w:tc>
          <w:tcPr>
            <w:tcW w:type="dxa" w:w="144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教师</w:t>
            </w:r>
          </w:p>
        </w:tc>
        <w:tc>
          <w:tcPr>
            <w:tcW w:type="dxa" w:w="288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teacher / 123456</w:t>
            </w:r>
          </w:p>
        </w:tc>
        <w:tc>
          <w:tcPr>
            <w:tcW w:type="dxa" w:w="576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计算机网络、操作系统、学情分析、AI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学生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student / 123456</w:t>
            </w:r>
          </w:p>
        </w:tc>
        <w:tc>
          <w:tcPr>
            <w:tcW w:type="dxa" w:w="5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赵伟；四门完整课程成绩和个人分析</w:t>
            </w:r>
          </w:p>
        </w:tc>
      </w:tr>
      <w:tr>
        <w:tc>
          <w:tcPr>
            <w:tcW w:type="dxa" w:w="144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助教</w:t>
            </w:r>
          </w:p>
        </w:tc>
        <w:tc>
          <w:tcPr>
            <w:tcW w:type="dxa" w:w="288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assistant / 123456</w:t>
            </w:r>
          </w:p>
        </w:tc>
        <w:tc>
          <w:tcPr>
            <w:tcW w:type="dxa" w:w="5760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数据采集与课程授权范围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3. 启动项目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启动后端。浏览器打开 http://127.0.0.1:8000/api/health，显示 status 为 ok 后继续。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启动 AI 服务。浏览器打开 http://127.0.0.1:8001/health，确认服务可用；未配置第三方模型时，AI 生成功能应按页面提示处理。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启动前端。浏览器打开 http://localhost:5173。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终端 1：在 backend 目录执行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..\.venv\Scripts\python.exe -m uvicorn app.main:app --reload --port 8000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终端 2：在 algorithm 目录执行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.venv\Scripts\python.exe -m uvicorn src.main:app --port 8001 --reload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终端 3：在 frontend 目录执行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2F4F7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>
      <w:pPr>
        <w:pStyle w:val="Heading1"/>
      </w:pPr>
      <w:r>
        <w:t>4. 管理员演示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使用 admin / 123456 登录。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进入 系统管理 → 用户管理，搜索 2024001001。应看到赵伟的学生账号；账号可用于学生端登录。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进入 数据管理，选择“成绩”筛选。查看五门课程的平时作业、实验实践、期中考试、期末考试记录；来源应为“提前注入”。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进入 数据管理，切换考勤和课堂参与筛选。任一课程均应有对应记录，不应出现空白课程。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5. </w:t>
      </w:r>
      <w:r>
        <w:rPr>
          <w:rFonts w:ascii="Microsoft YaHei" w:hAnsi="Microsoft YaHei" w:eastAsia="Microsoft YaHei"/>
          <w:b w:val="0"/>
        </w:rPr>
        <w:t>进入 报告中心，选择班级或课程生成报告；预览后导出 PDF，确认下载文件包含与预览一致的图表。</w:t>
      </w:r>
    </w:p>
    <w:p>
      <w:r>
        <w:br w:type="page"/>
      </w:r>
    </w:p>
    <w:p>
      <w:pPr>
        <w:pStyle w:val="Heading1"/>
      </w:pPr>
      <w:r>
        <w:t>5. 教师演示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退出并使用 teacher / 123456 登录。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进入 教师首页或课程管理，选择“计算机网络”。应看到完整的学生数量、成绩统计、考勤和参与数据。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进入 学情分析 → 成绩趋势。选择班级与计算机网络；趋势按平时作业、实验实践、期中、期末排序，期末在最右侧。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进入 学情分析 → 知识点掌握度。查看网络体系结构、数据链路层、传输层及知识点热力图；数据不应为空。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5. </w:t>
      </w:r>
      <w:r>
        <w:rPr>
          <w:rFonts w:ascii="Microsoft YaHei" w:hAnsi="Microsoft YaHei" w:eastAsia="Microsoft YaHei"/>
          <w:b w:val="0"/>
        </w:rPr>
        <w:t>进入 异常学情预警。计算机网络只显示 1 名明确风险学生；打开详情后可说明其期末下降和考勤风险。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6. </w:t>
      </w:r>
      <w:r>
        <w:rPr>
          <w:rFonts w:ascii="Microsoft YaHei" w:hAnsi="Microsoft YaHei" w:eastAsia="Microsoft YaHei"/>
          <w:b w:val="0"/>
        </w:rPr>
        <w:t>点击“去约谈”，完成预警学生的约谈记录。返回预警列表后确认该记录仍可追溯。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7. </w:t>
      </w:r>
      <w:r>
        <w:rPr>
          <w:rFonts w:ascii="Microsoft YaHei" w:hAnsi="Microsoft YaHei" w:eastAsia="Microsoft YaHei"/>
          <w:b w:val="0"/>
        </w:rPr>
        <w:t>进入 AI 学情分析，先选择班级、学期、课程和分析维度，再点击重新分析。先展示诊断过程，完成后展示分析结果；通过“历史分析与对话”可回到对应记录。</w:t>
      </w:r>
    </w:p>
    <w:p>
      <w:pPr>
        <w:pStyle w:val="Heading1"/>
      </w:pPr>
      <w:r>
        <w:t>6. 学生端演示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退出并使用 student / 123456 登录。该账号对应赵伟，学号 2024001001。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进入 我的学习。顶部课程卡应显示四门课程：计算机网络、操作系统、数据结构、概率论与数理统计。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在“成绩变化趋势”右上角选择“计算机网络”。图表只显示该课程的四阶段成绩，最后一项为期末考试。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切换到“操作系统”或“概率论与数理统计”，确认趋势数据随课程切换而变化，不与其他课程混在同一张图。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5. </w:t>
      </w:r>
      <w:r>
        <w:rPr>
          <w:rFonts w:ascii="Microsoft YaHei" w:hAnsi="Microsoft YaHei" w:eastAsia="Microsoft YaHei"/>
          <w:b w:val="0"/>
        </w:rPr>
        <w:t>进入 学习档案 → 成绩档案，选择同一课程。成绩记录、趋势图和首页趋势的阶段顺序应一致。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6. </w:t>
      </w:r>
      <w:r>
        <w:rPr>
          <w:rFonts w:ascii="Microsoft YaHei" w:hAnsi="Microsoft YaHei" w:eastAsia="Microsoft YaHei"/>
          <w:b w:val="0"/>
        </w:rPr>
        <w:t>进入 个人分析 → 学习评价，选择任一已有课程。课程成绩类型构成与学习态度数据来源应同时显示；无数据项不应参与总评。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7. </w:t>
      </w:r>
      <w:r>
        <w:rPr>
          <w:rFonts w:ascii="Microsoft YaHei" w:hAnsi="Microsoft YaHei" w:eastAsia="Microsoft YaHei"/>
          <w:b w:val="0"/>
        </w:rPr>
        <w:t>进入 个人分析 → 知识点掌握度。选择计算机网络，查看知识点热力图、最强知识点和需加强知识点。</w:t>
      </w:r>
    </w:p>
    <w:p>
      <w:r>
        <w:br w:type="page"/>
      </w:r>
    </w:p>
    <w:p>
      <w:pPr>
        <w:pStyle w:val="Heading1"/>
      </w:pPr>
      <w:r>
        <w:t>7. AI教学与报告验收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1. </w:t>
      </w:r>
      <w:r>
        <w:rPr>
          <w:rFonts w:ascii="Microsoft YaHei" w:hAnsi="Microsoft YaHei" w:eastAsia="Microsoft YaHei"/>
          <w:b w:val="0"/>
        </w:rPr>
        <w:t>教师端进入 AI 智能辅助教学 → AI 出题。选择计算机网络的标准章节后生成题目，确认章节名统一且不重复。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2. </w:t>
      </w:r>
      <w:r>
        <w:rPr>
          <w:rFonts w:ascii="Microsoft YaHei" w:hAnsi="Microsoft YaHei" w:eastAsia="Microsoft YaHei"/>
          <w:b w:val="0"/>
        </w:rPr>
        <w:t>在生成题目列表中查看题型、难度、知识点和章节；接受题目后进入题库或任务管理查看。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3. </w:t>
      </w:r>
      <w:r>
        <w:rPr>
          <w:rFonts w:ascii="Microsoft YaHei" w:hAnsi="Microsoft YaHei" w:eastAsia="Microsoft YaHei"/>
          <w:b w:val="0"/>
        </w:rPr>
        <w:t>进入 AI 学情分析，选择“概览”深度执行一次分析。结果应以结构化内容展示，不应显示原始 JSON。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4. </w:t>
      </w:r>
      <w:r>
        <w:rPr>
          <w:rFonts w:ascii="Microsoft YaHei" w:hAnsi="Microsoft YaHei" w:eastAsia="Microsoft YaHei"/>
          <w:b w:val="0"/>
        </w:rPr>
        <w:t>点击“历史分析与对话”。列表中应显示班级、学期、班级名称、课程等区分信息；点击“进入这条对话”后，应切换到该条记录的结果与对话上下文。</w:t>
      </w:r>
    </w:p>
    <w:p>
      <w:pPr>
        <w:ind w:left="72"/>
      </w:pPr>
      <w:r>
        <w:rPr>
          <w:rFonts w:ascii="Microsoft YaHei" w:hAnsi="Microsoft YaHei" w:eastAsia="Microsoft YaHei"/>
          <w:b/>
          <w:color w:val="1F4E79"/>
        </w:rPr>
        <w:t xml:space="preserve">5. </w:t>
      </w:r>
      <w:r>
        <w:rPr>
          <w:rFonts w:ascii="Microsoft YaHei" w:hAnsi="Microsoft YaHei" w:eastAsia="Microsoft YaHei"/>
          <w:b w:val="0"/>
        </w:rPr>
        <w:t>返回 报告中心，生成一份课程报告。先预览，再下载 PDF；图表、统计和文字内容应一致。</w:t>
      </w:r>
    </w:p>
    <w:p>
      <w:pPr>
        <w:pStyle w:val="Heading1"/>
      </w:pPr>
      <w:r>
        <w:t>8. 验收检查清单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04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7776"/>
            <w:shd w:fill="1F4E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通过标准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数据完整性</w:t>
            </w:r>
          </w:p>
        </w:tc>
        <w:tc>
          <w:tcPr>
            <w:tcW w:type="dxa" w:w="77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五门课程均有四阶段成绩、考勤、参与和知识点数据</w:t>
            </w:r>
          </w:p>
        </w:tc>
      </w:tr>
      <w:tr>
        <w:tc>
          <w:tcPr>
            <w:tcW w:type="dxa" w:w="2304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趋势排序</w:t>
            </w:r>
          </w:p>
        </w:tc>
        <w:tc>
          <w:tcPr>
            <w:tcW w:type="dxa" w:w="7776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平时作业/实践在前，期中居中，期末固定最后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学生端同步</w:t>
            </w:r>
          </w:p>
        </w:tc>
        <w:tc>
          <w:tcPr>
            <w:tcW w:type="dxa" w:w="77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首页、成绩档案、学习评价使用同一门课程和同一顺序的数据</w:t>
            </w:r>
          </w:p>
        </w:tc>
      </w:tr>
      <w:tr>
        <w:tc>
          <w:tcPr>
            <w:tcW w:type="dxa" w:w="2304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评价口径</w:t>
            </w:r>
          </w:p>
        </w:tc>
        <w:tc>
          <w:tcPr>
            <w:tcW w:type="dxa" w:w="7776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学业水平来自课程成绩类型构成；学习态度来自考勤和课堂参与等明确来源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预警合理性</w:t>
            </w:r>
          </w:p>
        </w:tc>
        <w:tc>
          <w:tcPr>
            <w:tcW w:type="dxa" w:w="77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共 5 条，均有明确原因；非风险学生不被大量误报</w:t>
            </w:r>
          </w:p>
        </w:tc>
      </w:tr>
      <w:tr>
        <w:tc>
          <w:tcPr>
            <w:tcW w:type="dxa" w:w="2304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AI上下文</w:t>
            </w:r>
          </w:p>
        </w:tc>
        <w:tc>
          <w:tcPr>
            <w:tcW w:type="dxa" w:w="7776"/>
            <w:shd w:fill="F7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分析完成即展示；历史记录可定位并进入原上下文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报告一致性</w:t>
            </w:r>
          </w:p>
        </w:tc>
        <w:tc>
          <w:tcPr>
            <w:tcW w:type="dxa" w:w="77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PDF 下载内容与页面预览包含一致的可视化图表</w:t>
            </w:r>
          </w:p>
        </w:tc>
      </w:tr>
    </w:tbl>
    <w:p>
      <w:pPr>
        <w:spacing w:after="20"/>
      </w:pPr>
    </w:p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