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TeachAgent</w:t>
      </w:r>
    </w:p>
    <w:p>
      <w:pPr>
        <w:pStyle w:val="Subtitle"/>
      </w:pPr>
      <w:r>
        <w:t>功能与部署文档</w:t>
      </w:r>
    </w:p>
    <w:p>
      <w:r>
        <w:t>让课堂被看见，让成长有迹可循。</w:t>
      </w:r>
    </w:p>
    <w:p>
      <w:r>
        <w:drawing>
          <wp:inline xmlns:a="http://schemas.openxmlformats.org/drawingml/2006/main" xmlns:pic="http://schemas.openxmlformats.org/drawingml/2006/picture">
            <wp:extent cx="5688000" cy="5802550"/>
            <wp:docPr id="1" name="Picture 1"/>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688000" cy="5802550"/>
                    </a:xfrm>
                    <a:prstGeom prst="rect"/>
                  </pic:spPr>
                </pic:pic>
              </a:graphicData>
            </a:graphic>
          </wp:inline>
        </w:drawing>
      </w:r>
    </w:p>
    <w:p>
      <w:r>
        <w:br w:type="page"/>
      </w:r>
    </w:p>
    <w:p>
      <w:r>
        <w:t>版本：1.1.0</w:t>
      </w:r>
    </w:p>
    <w:p>
      <w:r>
        <w:t>文档日期：2026-09-18</w:t>
      </w:r>
    </w:p>
    <w:p>
      <w:r>
        <w:t>适用对象：学校项目负责人、教师、教研管理员、信息中心与部署运维人员。</w:t>
      </w:r>
    </w:p>
    <w:p>
      <w:pPr>
        <w:pStyle w:val="Heading1"/>
      </w:pPr>
      <w:r>
        <w:t>1. 系统定位与交付范围</w:t>
      </w:r>
    </w:p>
    <w:p>
      <w:r>
        <w:t>TeachAgent 是学校私有部署的课堂分析 WebUI Agent 系统。教师上传课堂视频，系统在本地抽帧、转写、清洗和结构化话语，生成授课方式画像与可优化点清单。教师可围绕课堂证据连续追问，并下载报告。管理员负责账号与按账号数据备份。</w:t>
      </w:r>
    </w:p>
    <w:p>
      <w:r>
        <w:t>一期以“语音转写 + 文本级教学分析”为主。视频抽帧用于回看参考，不对抽帧进行动作、情绪、板书或姿态识别。系统不是自动教师评分工具，不能仅凭文本判定真实师生互动质量。</w:t>
      </w:r>
    </w:p>
    <w:p>
      <w:pPr>
        <w:pStyle w:val="Heading2"/>
      </w:pPr>
      <w:r>
        <w:t>1.1 需求对应表</w:t>
      </w:r>
    </w:p>
    <w:tbl>
      <w:tblPr>
        <w:tblStyle w:val="LightShading-Accent1"/>
        <w:tblW w:type="auto" w:w="0"/>
        <w:tblLook w:firstColumn="1" w:firstRow="1" w:lastColumn="0" w:lastRow="0" w:noHBand="0" w:noVBand="1" w:val="04A0"/>
      </w:tblPr>
      <w:tblGrid>
        <w:gridCol w:w="3099"/>
        <w:gridCol w:w="3099"/>
        <w:gridCol w:w="3099"/>
      </w:tblGrid>
      <w:tr>
        <w:trPr>
          <w:cantSplit/>
          <w:tblHeader/>
        </w:trPr>
        <w:tc>
          <w:tcPr>
            <w:tcW w:type="dxa" w:w="3099"/>
          </w:tcPr>
          <w:p>
            <w:r>
              <w:rPr>
                <w:sz w:val="16"/>
              </w:rPr>
              <w:t>原始需求</w:t>
            </w:r>
          </w:p>
        </w:tc>
        <w:tc>
          <w:tcPr>
            <w:tcW w:type="dxa" w:w="3099"/>
          </w:tcPr>
          <w:p>
            <w:r>
              <w:rPr>
                <w:sz w:val="16"/>
              </w:rPr>
              <w:t>一期实现</w:t>
            </w:r>
          </w:p>
        </w:tc>
        <w:tc>
          <w:tcPr>
            <w:tcW w:type="dxa" w:w="3099"/>
          </w:tcPr>
          <w:p>
            <w:r>
              <w:rPr>
                <w:sz w:val="16"/>
              </w:rPr>
              <w:t>使用入口</w:t>
            </w:r>
          </w:p>
        </w:tc>
      </w:tr>
      <w:tr>
        <w:trPr>
          <w:cantSplit/>
        </w:trPr>
        <w:tc>
          <w:tcPr>
            <w:tcW w:type="dxa" w:w="3099"/>
          </w:tcPr>
          <w:p>
            <w:r>
              <w:rPr>
                <w:sz w:val="16"/>
              </w:rPr>
              <w:t>常见课堂视频上传</w:t>
            </w:r>
          </w:p>
        </w:tc>
        <w:tc>
          <w:tcPr>
            <w:tcW w:type="dxa" w:w="3099"/>
          </w:tcPr>
          <w:p>
            <w:r>
              <w:rPr>
                <w:sz w:val="16"/>
              </w:rPr>
              <w:t>MP4、MOV、MKV、AVI、WebM、M4V；分块落盘</w:t>
            </w:r>
          </w:p>
        </w:tc>
        <w:tc>
          <w:tcPr>
            <w:tcW w:type="dxa" w:w="3099"/>
          </w:tcPr>
          <w:p>
            <w:r>
              <w:rPr>
                <w:sz w:val="16"/>
              </w:rPr>
              <w:t>上传新课堂</w:t>
            </w:r>
          </w:p>
        </w:tc>
      </w:tr>
      <w:tr>
        <w:trPr>
          <w:cantSplit/>
        </w:trPr>
        <w:tc>
          <w:tcPr>
            <w:tcW w:type="dxa" w:w="3099"/>
          </w:tcPr>
          <w:p>
            <w:r>
              <w:rPr>
                <w:sz w:val="16"/>
              </w:rPr>
              <w:t>自动抽帧与本地 ASR</w:t>
            </w:r>
          </w:p>
        </w:tc>
        <w:tc>
          <w:tcPr>
            <w:tcW w:type="dxa" w:w="3099"/>
          </w:tcPr>
          <w:p>
            <w:r>
              <w:rPr>
                <w:sz w:val="16"/>
              </w:rPr>
              <w:t>FFmpeg 抽帧、16kHz 单声道音轨、faster-whisper</w:t>
            </w:r>
          </w:p>
        </w:tc>
        <w:tc>
          <w:tcPr>
            <w:tcW w:type="dxa" w:w="3099"/>
          </w:tcPr>
          <w:p>
            <w:r>
              <w:rPr>
                <w:sz w:val="16"/>
              </w:rPr>
              <w:t>视频任务自动执行</w:t>
            </w:r>
          </w:p>
        </w:tc>
      </w:tr>
      <w:tr>
        <w:trPr>
          <w:cantSplit/>
        </w:trPr>
        <w:tc>
          <w:tcPr>
            <w:tcW w:type="dxa" w:w="3099"/>
          </w:tcPr>
          <w:p>
            <w:r>
              <w:rPr>
                <w:sz w:val="16"/>
              </w:rPr>
              <w:t>清洗与按环节分段</w:t>
            </w:r>
          </w:p>
        </w:tc>
        <w:tc>
          <w:tcPr>
            <w:tcW w:type="dxa" w:w="3099"/>
          </w:tcPr>
          <w:p>
            <w:r>
              <w:rPr>
                <w:sz w:val="16"/>
              </w:rPr>
              <w:t>清理标签、不可见字符、空白；关键词环节识别与相邻合并</w:t>
            </w:r>
          </w:p>
        </w:tc>
        <w:tc>
          <w:tcPr>
            <w:tcW w:type="dxa" w:w="3099"/>
          </w:tcPr>
          <w:p>
            <w:r>
              <w:rPr>
                <w:sz w:val="16"/>
              </w:rPr>
              <w:t>转写与环节</w:t>
            </w:r>
          </w:p>
        </w:tc>
      </w:tr>
      <w:tr>
        <w:trPr>
          <w:cantSplit/>
        </w:trPr>
        <w:tc>
          <w:tcPr>
            <w:tcW w:type="dxa" w:w="3099"/>
          </w:tcPr>
          <w:p>
            <w:r>
              <w:rPr>
                <w:sz w:val="16"/>
              </w:rPr>
              <w:t>课堂数据蒸馏</w:t>
            </w:r>
          </w:p>
        </w:tc>
        <w:tc>
          <w:tcPr>
            <w:tcW w:type="dxa" w:w="3099"/>
          </w:tcPr>
          <w:p>
            <w:r>
              <w:rPr>
                <w:sz w:val="16"/>
              </w:rPr>
              <w:t>话语、时间、显式角色、环节、提问、互动、语言习惯</w:t>
            </w:r>
          </w:p>
        </w:tc>
        <w:tc>
          <w:tcPr>
            <w:tcW w:type="dxa" w:w="3099"/>
          </w:tcPr>
          <w:p>
            <w:r>
              <w:rPr>
                <w:sz w:val="16"/>
              </w:rPr>
              <w:t>结构化 JSON</w:t>
            </w:r>
          </w:p>
        </w:tc>
      </w:tr>
      <w:tr>
        <w:trPr>
          <w:cantSplit/>
        </w:trPr>
        <w:tc>
          <w:tcPr>
            <w:tcW w:type="dxa" w:w="3099"/>
          </w:tcPr>
          <w:p>
            <w:r>
              <w:rPr>
                <w:sz w:val="16"/>
              </w:rPr>
              <w:t>授课方式画像</w:t>
            </w:r>
          </w:p>
        </w:tc>
        <w:tc>
          <w:tcPr>
            <w:tcW w:type="dxa" w:w="3099"/>
          </w:tcPr>
          <w:p>
            <w:r>
              <w:rPr>
                <w:sz w:val="16"/>
              </w:rPr>
              <w:t>节奏曲线、时间分配、提问线索、互动邀请、语速</w:t>
            </w:r>
          </w:p>
        </w:tc>
        <w:tc>
          <w:tcPr>
            <w:tcW w:type="dxa" w:w="3099"/>
          </w:tcPr>
          <w:p>
            <w:r>
              <w:rPr>
                <w:sz w:val="16"/>
              </w:rPr>
              <w:t>教学洞察</w:t>
            </w:r>
          </w:p>
        </w:tc>
      </w:tr>
      <w:tr>
        <w:trPr>
          <w:cantSplit/>
        </w:trPr>
        <w:tc>
          <w:tcPr>
            <w:tcW w:type="dxa" w:w="3099"/>
          </w:tcPr>
          <w:p>
            <w:r>
              <w:rPr>
                <w:sz w:val="16"/>
              </w:rPr>
              <w:t>可优化点清单</w:t>
            </w:r>
          </w:p>
        </w:tc>
        <w:tc>
          <w:tcPr>
            <w:tcW w:type="dxa" w:w="3099"/>
          </w:tcPr>
          <w:p>
            <w:r>
              <w:rPr>
                <w:sz w:val="16"/>
              </w:rPr>
              <w:t>按本课文本给出证据、定位片段、具体尝试动作</w:t>
            </w:r>
          </w:p>
        </w:tc>
        <w:tc>
          <w:tcPr>
            <w:tcW w:type="dxa" w:w="3099"/>
          </w:tcPr>
          <w:p>
            <w:r>
              <w:rPr>
                <w:sz w:val="16"/>
              </w:rPr>
              <w:t>可优化点</w:t>
            </w:r>
          </w:p>
        </w:tc>
      </w:tr>
      <w:tr>
        <w:trPr>
          <w:cantSplit/>
        </w:trPr>
        <w:tc>
          <w:tcPr>
            <w:tcW w:type="dxa" w:w="3099"/>
          </w:tcPr>
          <w:p>
            <w:r>
              <w:rPr>
                <w:sz w:val="16"/>
              </w:rPr>
              <w:t>AI 追问</w:t>
            </w:r>
          </w:p>
        </w:tc>
        <w:tc>
          <w:tcPr>
            <w:tcW w:type="dxa" w:w="3099"/>
          </w:tcPr>
          <w:p>
            <w:r>
              <w:rPr>
                <w:sz w:val="16"/>
              </w:rPr>
              <w:t>本机 Ollama / 本地规则 / 按账号 OpenAI 兼容服务；真正流式输出、停止、重试，来源明确标注</w:t>
            </w:r>
          </w:p>
        </w:tc>
        <w:tc>
          <w:tcPr>
            <w:tcW w:type="dxa" w:w="3099"/>
          </w:tcPr>
          <w:p>
            <w:r>
              <w:rPr>
                <w:sz w:val="16"/>
              </w:rPr>
              <w:t>教研助手 / AI 追问</w:t>
            </w:r>
          </w:p>
        </w:tc>
      </w:tr>
      <w:tr>
        <w:trPr>
          <w:cantSplit/>
        </w:trPr>
        <w:tc>
          <w:tcPr>
            <w:tcW w:type="dxa" w:w="3099"/>
          </w:tcPr>
          <w:p>
            <w:r>
              <w:rPr>
                <w:sz w:val="16"/>
              </w:rPr>
              <w:t>教师账号与数据隔离</w:t>
            </w:r>
          </w:p>
        </w:tc>
        <w:tc>
          <w:tcPr>
            <w:tcW w:type="dxa" w:w="3099"/>
          </w:tcPr>
          <w:p>
            <w:r>
              <w:rPr>
                <w:sz w:val="16"/>
              </w:rPr>
              <w:t>账号登录、会话、接口层所有权检查、独立文件目录</w:t>
            </w:r>
          </w:p>
        </w:tc>
        <w:tc>
          <w:tcPr>
            <w:tcW w:type="dxa" w:w="3099"/>
          </w:tcPr>
          <w:p>
            <w:r>
              <w:rPr>
                <w:sz w:val="16"/>
              </w:rPr>
              <w:t>教师入口</w:t>
            </w:r>
          </w:p>
        </w:tc>
      </w:tr>
      <w:tr>
        <w:trPr>
          <w:cantSplit/>
        </w:trPr>
        <w:tc>
          <w:tcPr>
            <w:tcW w:type="dxa" w:w="3099"/>
          </w:tcPr>
          <w:p>
            <w:r>
              <w:rPr>
                <w:sz w:val="16"/>
              </w:rPr>
              <w:t>查看与下载报告</w:t>
            </w:r>
          </w:p>
        </w:tc>
        <w:tc>
          <w:tcPr>
            <w:tcW w:type="dxa" w:w="3099"/>
          </w:tcPr>
          <w:p>
            <w:r>
              <w:rPr>
                <w:sz w:val="16"/>
              </w:rPr>
              <w:t>Markdown、JSON、HTML；HTML 可由浏览器打印 PDF</w:t>
            </w:r>
          </w:p>
        </w:tc>
        <w:tc>
          <w:tcPr>
            <w:tcW w:type="dxa" w:w="3099"/>
          </w:tcPr>
          <w:p>
            <w:r>
              <w:rPr>
                <w:sz w:val="16"/>
              </w:rPr>
              <w:t>分析报告</w:t>
            </w:r>
          </w:p>
        </w:tc>
      </w:tr>
      <w:tr>
        <w:trPr>
          <w:cantSplit/>
        </w:trPr>
        <w:tc>
          <w:tcPr>
            <w:tcW w:type="dxa" w:w="3099"/>
          </w:tcPr>
          <w:p>
            <w:r>
              <w:rPr>
                <w:sz w:val="16"/>
              </w:rPr>
              <w:t>私有化与内网运行</w:t>
            </w:r>
          </w:p>
        </w:tc>
        <w:tc>
          <w:tcPr>
            <w:tcW w:type="dxa" w:w="3099"/>
          </w:tcPr>
          <w:p>
            <w:r>
              <w:rPr>
                <w:sz w:val="16"/>
              </w:rPr>
              <w:t>同源静态资源、SQLite、本地文件、本地模型</w:t>
            </w:r>
          </w:p>
        </w:tc>
        <w:tc>
          <w:tcPr>
            <w:tcW w:type="dxa" w:w="3099"/>
          </w:tcPr>
          <w:p>
            <w:r>
              <w:rPr>
                <w:sz w:val="16"/>
              </w:rPr>
              <w:t>本地或 Docker 部署</w:t>
            </w:r>
          </w:p>
        </w:tc>
      </w:tr>
      <w:tr>
        <w:trPr>
          <w:cantSplit/>
        </w:trPr>
        <w:tc>
          <w:tcPr>
            <w:tcW w:type="dxa" w:w="3099"/>
          </w:tcPr>
          <w:p>
            <w:r>
              <w:rPr>
                <w:sz w:val="16"/>
              </w:rPr>
              <w:t>管理员按账号导出备份</w:t>
            </w:r>
          </w:p>
        </w:tc>
        <w:tc>
          <w:tcPr>
            <w:tcW w:type="dxa" w:w="3099"/>
          </w:tcPr>
          <w:p>
            <w:r>
              <w:rPr>
                <w:sz w:val="16"/>
              </w:rPr>
              <w:t>ZIP 包含元信息、课堂文件、分析、对话，无密码或会话</w:t>
            </w:r>
          </w:p>
        </w:tc>
        <w:tc>
          <w:tcPr>
            <w:tcW w:type="dxa" w:w="3099"/>
          </w:tcPr>
          <w:p>
            <w:r>
              <w:rPr>
                <w:sz w:val="16"/>
              </w:rPr>
              <w:t>学校管理</w:t>
            </w:r>
          </w:p>
        </w:tc>
      </w:tr>
    </w:tbl>
    <w:p/>
    <w:p>
      <w:pPr>
        <w:pStyle w:val="Heading2"/>
      </w:pPr>
      <w:r>
        <w:t>1.2 交付物</w:t>
      </w:r>
    </w:p>
    <w:p>
      <w:r>
        <w:t>完整 React / TypeScript 前端、FastAPI 后端、数据库初始化与账号命令、合成示例、Dockerfile、Compose、Nginx 示例、自动化测试、GitHub Actions CI、功能文档与版本 Release。Release 应包含构建后的 WebUI 和源码；模型及真实学校数据不分发。</w:t>
      </w:r>
    </w:p>
    <w:p>
      <w:pPr>
        <w:pStyle w:val="Heading1"/>
      </w:pPr>
      <w:r>
        <w:t>2. 角色与权限</w:t>
      </w:r>
    </w:p>
    <w:tbl>
      <w:tblPr>
        <w:tblStyle w:val="LightShading-Accent1"/>
        <w:tblW w:type="auto" w:w="0"/>
        <w:tblLook w:firstColumn="1" w:firstRow="1" w:lastColumn="0" w:lastRow="0" w:noHBand="0" w:noVBand="1" w:val="04A0"/>
      </w:tblPr>
      <w:tblGrid>
        <w:gridCol w:w="2324"/>
        <w:gridCol w:w="2324"/>
        <w:gridCol w:w="2324"/>
        <w:gridCol w:w="2324"/>
      </w:tblGrid>
      <w:tr>
        <w:trPr>
          <w:cantSplit/>
          <w:tblHeader/>
        </w:trPr>
        <w:tc>
          <w:tcPr>
            <w:tcW w:type="dxa" w:w="2324"/>
          </w:tcPr>
          <w:p>
            <w:r>
              <w:rPr>
                <w:sz w:val="16"/>
              </w:rPr>
              <w:t>操作</w:t>
            </w:r>
          </w:p>
        </w:tc>
        <w:tc>
          <w:tcPr>
            <w:tcW w:type="dxa" w:w="2324"/>
          </w:tcPr>
          <w:p>
            <w:r>
              <w:rPr>
                <w:sz w:val="16"/>
              </w:rPr>
              <w:t>未登录访问者</w:t>
            </w:r>
          </w:p>
        </w:tc>
        <w:tc>
          <w:tcPr>
            <w:tcW w:type="dxa" w:w="2324"/>
          </w:tcPr>
          <w:p>
            <w:r>
              <w:rPr>
                <w:sz w:val="16"/>
              </w:rPr>
              <w:t>教师</w:t>
            </w:r>
          </w:p>
        </w:tc>
        <w:tc>
          <w:tcPr>
            <w:tcW w:type="dxa" w:w="2324"/>
          </w:tcPr>
          <w:p>
            <w:r>
              <w:rPr>
                <w:sz w:val="16"/>
              </w:rPr>
              <w:t>管理员</w:t>
            </w:r>
          </w:p>
        </w:tc>
      </w:tr>
      <w:tr>
        <w:trPr>
          <w:cantSplit/>
        </w:trPr>
        <w:tc>
          <w:tcPr>
            <w:tcW w:type="dxa" w:w="2324"/>
          </w:tcPr>
          <w:p>
            <w:r>
              <w:rPr>
                <w:sz w:val="16"/>
              </w:rPr>
              <w:t>浏览合成示例</w:t>
            </w:r>
          </w:p>
        </w:tc>
        <w:tc>
          <w:tcPr>
            <w:tcW w:type="dxa" w:w="2324"/>
          </w:tcPr>
          <w:p>
            <w:r>
              <w:rPr>
                <w:sz w:val="16"/>
              </w:rPr>
              <w:t>只读</w:t>
            </w:r>
          </w:p>
        </w:tc>
        <w:tc>
          <w:tcPr>
            <w:tcW w:type="dxa" w:w="2324"/>
          </w:tcPr>
          <w:p>
            <w:r>
              <w:rPr>
                <w:sz w:val="16"/>
              </w:rPr>
              <w:t>可添加到自己的空间</w:t>
            </w:r>
          </w:p>
        </w:tc>
        <w:tc>
          <w:tcPr>
            <w:tcW w:type="dxa" w:w="2324"/>
          </w:tcPr>
          <w:p>
            <w:r>
              <w:rPr>
                <w:sz w:val="16"/>
              </w:rPr>
              <w:t>可添加到自己的空间</w:t>
            </w:r>
          </w:p>
        </w:tc>
      </w:tr>
      <w:tr>
        <w:trPr>
          <w:cantSplit/>
        </w:trPr>
        <w:tc>
          <w:tcPr>
            <w:tcW w:type="dxa" w:w="2324"/>
          </w:tcPr>
          <w:p>
            <w:r>
              <w:rPr>
                <w:sz w:val="16"/>
              </w:rPr>
              <w:t>上传视频 / 导入文本</w:t>
            </w:r>
          </w:p>
        </w:tc>
        <w:tc>
          <w:tcPr>
            <w:tcW w:type="dxa" w:w="2324"/>
          </w:tcPr>
          <w:p>
            <w:r>
              <w:rPr>
                <w:sz w:val="16"/>
              </w:rPr>
              <w:t>不允许</w:t>
            </w:r>
          </w:p>
        </w:tc>
        <w:tc>
          <w:tcPr>
            <w:tcW w:type="dxa" w:w="2324"/>
          </w:tcPr>
          <w:p>
            <w:r>
              <w:rPr>
                <w:sz w:val="16"/>
              </w:rPr>
              <w:t>自己的空间</w:t>
            </w:r>
          </w:p>
        </w:tc>
        <w:tc>
          <w:tcPr>
            <w:tcW w:type="dxa" w:w="2324"/>
          </w:tcPr>
          <w:p>
            <w:r>
              <w:rPr>
                <w:sz w:val="16"/>
              </w:rPr>
              <w:t>自己的空间</w:t>
            </w:r>
          </w:p>
        </w:tc>
      </w:tr>
      <w:tr>
        <w:trPr>
          <w:cantSplit/>
        </w:trPr>
        <w:tc>
          <w:tcPr>
            <w:tcW w:type="dxa" w:w="2324"/>
          </w:tcPr>
          <w:p>
            <w:r>
              <w:rPr>
                <w:sz w:val="16"/>
              </w:rPr>
              <w:t>查看、回放、追问、下载报告</w:t>
            </w:r>
          </w:p>
        </w:tc>
        <w:tc>
          <w:tcPr>
            <w:tcW w:type="dxa" w:w="2324"/>
          </w:tcPr>
          <w:p>
            <w:r>
              <w:rPr>
                <w:sz w:val="16"/>
              </w:rPr>
              <w:t>不允许</w:t>
            </w:r>
          </w:p>
        </w:tc>
        <w:tc>
          <w:tcPr>
            <w:tcW w:type="dxa" w:w="2324"/>
          </w:tcPr>
          <w:p>
            <w:r>
              <w:rPr>
                <w:sz w:val="16"/>
              </w:rPr>
              <w:t>仅自己的课堂</w:t>
            </w:r>
          </w:p>
        </w:tc>
        <w:tc>
          <w:tcPr>
            <w:tcW w:type="dxa" w:w="2324"/>
          </w:tcPr>
          <w:p>
            <w:r>
              <w:rPr>
                <w:sz w:val="16"/>
              </w:rPr>
              <w:t>仅自己的课堂</w:t>
            </w:r>
          </w:p>
        </w:tc>
      </w:tr>
      <w:tr>
        <w:trPr>
          <w:cantSplit/>
        </w:trPr>
        <w:tc>
          <w:tcPr>
            <w:tcW w:type="dxa" w:w="2324"/>
          </w:tcPr>
          <w:p>
            <w:r>
              <w:rPr>
                <w:sz w:val="16"/>
              </w:rPr>
              <w:t>删除课堂</w:t>
            </w:r>
          </w:p>
        </w:tc>
        <w:tc>
          <w:tcPr>
            <w:tcW w:type="dxa" w:w="2324"/>
          </w:tcPr>
          <w:p>
            <w:r>
              <w:rPr>
                <w:sz w:val="16"/>
              </w:rPr>
              <w:t>不允许</w:t>
            </w:r>
          </w:p>
        </w:tc>
        <w:tc>
          <w:tcPr>
            <w:tcW w:type="dxa" w:w="2324"/>
          </w:tcPr>
          <w:p>
            <w:r>
              <w:rPr>
                <w:sz w:val="16"/>
              </w:rPr>
              <w:t>仅自己且未在处理中的课堂</w:t>
            </w:r>
          </w:p>
        </w:tc>
        <w:tc>
          <w:tcPr>
            <w:tcW w:type="dxa" w:w="2324"/>
          </w:tcPr>
          <w:p>
            <w:r>
              <w:rPr>
                <w:sz w:val="16"/>
              </w:rPr>
              <w:t>仅自己且未在处理中的课堂</w:t>
            </w:r>
          </w:p>
        </w:tc>
      </w:tr>
      <w:tr>
        <w:trPr>
          <w:cantSplit/>
        </w:trPr>
        <w:tc>
          <w:tcPr>
            <w:tcW w:type="dxa" w:w="2324"/>
          </w:tcPr>
          <w:p>
            <w:r>
              <w:rPr>
                <w:sz w:val="16"/>
              </w:rPr>
              <w:t>修改密码</w:t>
            </w:r>
          </w:p>
        </w:tc>
        <w:tc>
          <w:tcPr>
            <w:tcW w:type="dxa" w:w="2324"/>
          </w:tcPr>
          <w:p>
            <w:r>
              <w:rPr>
                <w:sz w:val="16"/>
              </w:rPr>
              <w:t>不允许</w:t>
            </w:r>
          </w:p>
        </w:tc>
        <w:tc>
          <w:tcPr>
            <w:tcW w:type="dxa" w:w="2324"/>
          </w:tcPr>
          <w:p>
            <w:r>
              <w:rPr>
                <w:sz w:val="16"/>
              </w:rPr>
              <w:t>自己</w:t>
            </w:r>
          </w:p>
        </w:tc>
        <w:tc>
          <w:tcPr>
            <w:tcW w:type="dxa" w:w="2324"/>
          </w:tcPr>
          <w:p>
            <w:r>
              <w:rPr>
                <w:sz w:val="16"/>
              </w:rPr>
              <w:t>自己</w:t>
            </w:r>
          </w:p>
        </w:tc>
      </w:tr>
      <w:tr>
        <w:trPr>
          <w:cantSplit/>
        </w:trPr>
        <w:tc>
          <w:tcPr>
            <w:tcW w:type="dxa" w:w="2324"/>
          </w:tcPr>
          <w:p>
            <w:r>
              <w:rPr>
                <w:sz w:val="16"/>
              </w:rPr>
              <w:t>创建教师账号</w:t>
            </w:r>
          </w:p>
        </w:tc>
        <w:tc>
          <w:tcPr>
            <w:tcW w:type="dxa" w:w="2324"/>
          </w:tcPr>
          <w:p>
            <w:r>
              <w:rPr>
                <w:sz w:val="16"/>
              </w:rPr>
              <w:t>不允许</w:t>
            </w:r>
          </w:p>
        </w:tc>
        <w:tc>
          <w:tcPr>
            <w:tcW w:type="dxa" w:w="2324"/>
          </w:tcPr>
          <w:p>
            <w:r>
              <w:rPr>
                <w:sz w:val="16"/>
              </w:rPr>
              <w:t>不允许</w:t>
            </w:r>
          </w:p>
        </w:tc>
        <w:tc>
          <w:tcPr>
            <w:tcW w:type="dxa" w:w="2324"/>
          </w:tcPr>
          <w:p>
            <w:r>
              <w:rPr>
                <w:sz w:val="16"/>
              </w:rPr>
              <w:t>允许</w:t>
            </w:r>
          </w:p>
        </w:tc>
      </w:tr>
      <w:tr>
        <w:trPr>
          <w:cantSplit/>
        </w:trPr>
        <w:tc>
          <w:tcPr>
            <w:tcW w:type="dxa" w:w="2324"/>
          </w:tcPr>
          <w:p>
            <w:r>
              <w:rPr>
                <w:sz w:val="16"/>
              </w:rPr>
              <w:t>按账号导出备份</w:t>
            </w:r>
          </w:p>
        </w:tc>
        <w:tc>
          <w:tcPr>
            <w:tcW w:type="dxa" w:w="2324"/>
          </w:tcPr>
          <w:p>
            <w:r>
              <w:rPr>
                <w:sz w:val="16"/>
              </w:rPr>
              <w:t>不允许</w:t>
            </w:r>
          </w:p>
        </w:tc>
        <w:tc>
          <w:tcPr>
            <w:tcW w:type="dxa" w:w="2324"/>
          </w:tcPr>
          <w:p>
            <w:r>
              <w:rPr>
                <w:sz w:val="16"/>
              </w:rPr>
              <w:t>不允许</w:t>
            </w:r>
          </w:p>
        </w:tc>
        <w:tc>
          <w:tcPr>
            <w:tcW w:type="dxa" w:w="2324"/>
          </w:tcPr>
          <w:p>
            <w:r>
              <w:rPr>
                <w:sz w:val="16"/>
              </w:rPr>
              <w:t>学校内任一账号</w:t>
            </w:r>
          </w:p>
        </w:tc>
      </w:tr>
      <w:tr>
        <w:trPr>
          <w:cantSplit/>
        </w:trPr>
        <w:tc>
          <w:tcPr>
            <w:tcW w:type="dxa" w:w="2324"/>
          </w:tcPr>
          <w:p>
            <w:r>
              <w:rPr>
                <w:sz w:val="16"/>
              </w:rPr>
              <w:t>查看审计日志</w:t>
            </w:r>
          </w:p>
        </w:tc>
        <w:tc>
          <w:tcPr>
            <w:tcW w:type="dxa" w:w="2324"/>
          </w:tcPr>
          <w:p>
            <w:r>
              <w:rPr>
                <w:sz w:val="16"/>
              </w:rPr>
              <w:t>不允许</w:t>
            </w:r>
          </w:p>
        </w:tc>
        <w:tc>
          <w:tcPr>
            <w:tcW w:type="dxa" w:w="2324"/>
          </w:tcPr>
          <w:p>
            <w:r>
              <w:rPr>
                <w:sz w:val="16"/>
              </w:rPr>
              <w:t>不允许</w:t>
            </w:r>
          </w:p>
        </w:tc>
        <w:tc>
          <w:tcPr>
            <w:tcW w:type="dxa" w:w="2324"/>
          </w:tcPr>
          <w:p>
            <w:r>
              <w:rPr>
                <w:sz w:val="16"/>
              </w:rPr>
              <w:t>最近 200 条</w:t>
            </w:r>
          </w:p>
        </w:tc>
      </w:tr>
    </w:tbl>
    <w:p/>
    <w:p>
      <w:r>
        <w:t>管理员没有通过普通课堂详情接口静默浏览所有教师数据的特殊通道；学校统一管理使用明确的账号备份入口，并记录审计事件。账号备份内容属于学校敏感资料，下载后由学校按内部制度存储。</w:t>
      </w:r>
    </w:p>
    <w:p>
      <w:pPr>
        <w:pStyle w:val="Heading1"/>
      </w:pPr>
      <w:r>
        <w:t>3. 教师操作流程</w:t>
      </w:r>
    </w:p>
    <w:p>
      <w:pPr>
        <w:pStyle w:val="Heading2"/>
      </w:pPr>
      <w:r>
        <w:t>3.1 登录与空间</w:t>
      </w:r>
    </w:p>
    <w:p>
      <w:pPr>
        <w:pStyle w:val="ListNumber"/>
      </w:pPr>
      <w:r>
        <w:t>信息中心在服务器创建首个管理员。系统没有预置通用管理员密码。</w:t>
      </w:r>
    </w:p>
    <w:p>
      <w:pPr>
        <w:pStyle w:val="ListNumber"/>
      </w:pPr>
      <w:r>
        <w:t>管理员在“学校管理 → 新建教师账号”输入姓名、账号、初始密码。</w:t>
      </w:r>
    </w:p>
    <w:p>
      <w:pPr>
        <w:pStyle w:val="ListNumber"/>
      </w:pPr>
      <w:r>
        <w:t>教师使用学校分配的账号登录。会话最长有效 12 小时。</w:t>
      </w:r>
    </w:p>
    <w:p>
      <w:pPr>
        <w:pStyle w:val="ListNumber"/>
      </w:pPr>
      <w:r>
        <w:t>进入“空间设置”修改初始密码。修改后所有旧会话立即失效，需要重新登录。</w:t>
      </w:r>
    </w:p>
    <w:p>
      <w:pPr>
        <w:pStyle w:val="ListNumber"/>
      </w:pPr>
      <w:r>
        <w:t>每个教师空间初始为空，不把示例数据当成学校真实记录。</w:t>
      </w:r>
    </w:p>
    <w:p>
      <w:r>
        <w:t>登录页的“体验示例工作台”是前端只读演示，不创建真实账号，也不写入数据库。示例的统计、文字与建议均标注为合成内容。</w:t>
      </w:r>
    </w:p>
    <w:p>
      <w:pPr>
        <w:pStyle w:val="Heading2"/>
      </w:pPr>
      <w:r>
        <w:t>3.2 视频上传与处理</w:t>
      </w:r>
    </w:p>
    <w:p>
      <w:r>
        <w:t>点击“上传新课堂”，填写课堂名称、学科、班级。点击选择或拖入视频，确认后上传。默认单文件最大 2048 MB、媒体时长最长 6 小时。长课建议先按课时切分。</w:t>
      </w:r>
    </w:p>
    <w:p>
      <w:r>
        <w:t>前端展示真实传输进度；传输完成后进入本地处理队列，状态每 3 秒刷新。处理顺序如下：</w:t>
      </w:r>
    </w:p>
    <w:p>
      <w:pPr>
        <w:pStyle w:val="ListNumber"/>
      </w:pPr>
      <w:r>
        <w:t>媒体检查：ffprobe 解析容器与流信息，确认存在音轨，读取时长；未安装 ffprobe 时使用随 ASR 依赖安装的本地 PyAV 检查。</w:t>
      </w:r>
    </w:p>
    <w:p>
      <w:pPr>
        <w:pStyle w:val="ListNumber"/>
      </w:pPr>
      <w:r>
        <w:t>参考抽帧：FFmpeg 按 max(30 秒, 视频时长 / 60) 的间隔抽帧，最多 60 张，宽度 640 像素并保持比例。</w:t>
      </w:r>
    </w:p>
    <w:p>
      <w:pPr>
        <w:pStyle w:val="ListNumber"/>
      </w:pPr>
      <w:r>
        <w:t>音轨提取：转为 16kHz、单声道 WAV。</w:t>
      </w:r>
    </w:p>
    <w:p>
      <w:pPr>
        <w:pStyle w:val="ListNumber"/>
      </w:pPr>
      <w:r>
        <w:t>离线 ASR：加载本地 faster-whisper，中文识别，beam size 5，VAD 开启。</w:t>
      </w:r>
    </w:p>
    <w:p>
      <w:pPr>
        <w:pStyle w:val="ListNumber"/>
      </w:pPr>
      <w:r>
        <w:t>文本清洗与蒸馏：保留每段 ASR 时间戳，生成可追踪结构。</w:t>
      </w:r>
    </w:p>
    <w:p>
      <w:pPr>
        <w:pStyle w:val="ListNumber"/>
      </w:pPr>
      <w:r>
        <w:t>画像与建议：计算统计、环节和证据化优化清单，保存 JSON。</w:t>
      </w:r>
    </w:p>
    <w:p>
      <w:r>
        <w:t>短视频若常规 30 秒采样未产生帧，会补抽首帧。抽帧、WAV 和原视频均保存在所属教师的本地目录内。即使抽帧已完成，ASR 模型缺失时也会将任务标记为失败，并显示安装模型提示。</w:t>
      </w:r>
    </w:p>
    <w:p>
      <w:r>
        <w:t>任务状态：uploading → queued → processing → completed，错误进入 failed。服务重启时将未完成任务标记为中断，教师可手动重试。重试重新执行管线，不会自动重复创建课堂记录。</w:t>
      </w:r>
    </w:p>
    <w:p>
      <w:pPr>
        <w:pStyle w:val="Heading2"/>
      </w:pPr>
      <w:r>
        <w:t>3.3 文本导入</w:t>
      </w:r>
    </w:p>
    <w:p>
      <w:r>
        <w:t>没有配置语音模型时，可以导入已经在本地产生的转写文本。支持粘贴文本或读取 UTF-8 TXT、SRT、VTT 文件。</w:t>
      </w:r>
    </w:p>
    <w:p>
      <w:pPr>
        <w:pStyle w:val="ListBullet"/>
      </w:pPr>
      <w:r>
        <w:t>SRT 保留 HH:MM:SS,mmm 时间戳。</w:t>
      </w:r>
    </w:p>
    <w:p>
      <w:pPr>
        <w:pStyle w:val="ListBullet"/>
      </w:pPr>
      <w:r>
        <w:t>VTT 支持 HH:MM:SS.mmm 和 MM:SS.mmm。</w:t>
      </w:r>
    </w:p>
    <w:p>
      <w:pPr>
        <w:pStyle w:val="ListBullet"/>
      </w:pPr>
      <w:r>
        <w:t>普通文本按换行及句末标点分段。时长按每秒 3.5 字估算、每段最少 3 秒，界面和报告明确说明估算性质。</w:t>
      </w:r>
    </w:p>
    <w:p>
      <w:pPr>
        <w:pStyle w:val="ListBullet"/>
      </w:pPr>
      <w:r>
        <w:t>文本最多 200,000 字符；前端本地文件读取限制 1 MB；话语片段最多 10,000 段。</w:t>
      </w:r>
    </w:p>
    <w:p>
      <w:pPr>
        <w:pStyle w:val="ListBullet"/>
      </w:pPr>
      <w:r>
        <w:t>可在原文显式标注“教师：”“老师：”“师：”和“学生：”“生：”。其他内容保持“未标注说话人”。</w:t>
      </w:r>
    </w:p>
    <w:p>
      <w:r>
        <w:t>纯文本导入不自动关联视频。点击时间不会伪装播放；界面会告知未关联视频或时间为估算。</w:t>
      </w:r>
    </w:p>
    <w:p>
      <w:pPr>
        <w:pStyle w:val="Heading2"/>
      </w:pPr>
      <w:r>
        <w:t>3.4 阅读教学画像</w:t>
      </w:r>
    </w:p>
    <w:p>
      <w:r>
        <w:t>“我的课堂”可按关键词搜索课堂名称、学科和班级，并按状态筛选。打开课堂后有四个页签：</w:t>
      </w:r>
    </w:p>
    <w:tbl>
      <w:tblPr>
        <w:tblStyle w:val="LightShading-Accent1"/>
        <w:tblW w:type="auto" w:w="0"/>
        <w:tblLook w:firstColumn="1" w:firstRow="1" w:lastColumn="0" w:lastRow="0" w:noHBand="0" w:noVBand="1" w:val="04A0"/>
      </w:tblPr>
      <w:tblGrid>
        <w:gridCol w:w="4649"/>
        <w:gridCol w:w="4649"/>
      </w:tblGrid>
      <w:tr>
        <w:trPr>
          <w:cantSplit/>
          <w:tblHeader/>
        </w:trPr>
        <w:tc>
          <w:tcPr>
            <w:tcW w:type="dxa" w:w="4649"/>
          </w:tcPr>
          <w:p>
            <w:r>
              <w:rPr>
                <w:sz w:val="16"/>
              </w:rPr>
              <w:t>页签</w:t>
            </w:r>
          </w:p>
        </w:tc>
        <w:tc>
          <w:tcPr>
            <w:tcW w:type="dxa" w:w="4649"/>
          </w:tcPr>
          <w:p>
            <w:r>
              <w:rPr>
                <w:sz w:val="16"/>
              </w:rPr>
              <w:t>内容</w:t>
            </w:r>
          </w:p>
        </w:tc>
      </w:tr>
      <w:tr>
        <w:trPr>
          <w:cantSplit/>
        </w:trPr>
        <w:tc>
          <w:tcPr>
            <w:tcW w:type="dxa" w:w="4649"/>
          </w:tcPr>
          <w:p>
            <w:r>
              <w:rPr>
                <w:sz w:val="16"/>
              </w:rPr>
              <w:t>授课方式画像</w:t>
            </w:r>
          </w:p>
        </w:tc>
        <w:tc>
          <w:tcPr>
            <w:tcW w:type="dxa" w:w="4649"/>
          </w:tcPr>
          <w:p>
            <w:r>
              <w:rPr>
                <w:sz w:val="16"/>
              </w:rPr>
              <w:t>教学观察摘要、提问/互动/语速/话语指标、节奏曲线、教学时间分配、环节时间轴、方法边界</w:t>
            </w:r>
          </w:p>
        </w:tc>
      </w:tr>
      <w:tr>
        <w:trPr>
          <w:cantSplit/>
        </w:trPr>
        <w:tc>
          <w:tcPr>
            <w:tcW w:type="dxa" w:w="4649"/>
          </w:tcPr>
          <w:p>
            <w:r>
              <w:rPr>
                <w:sz w:val="16"/>
              </w:rPr>
              <w:t>转写与环节</w:t>
            </w:r>
          </w:p>
        </w:tc>
        <w:tc>
          <w:tcPr>
            <w:tcW w:type="dxa" w:w="4649"/>
          </w:tcPr>
          <w:p>
            <w:r>
              <w:rPr>
                <w:sz w:val="16"/>
              </w:rPr>
              <w:t>搜索原文、片段编号、时间、文本角色、环节、提问标签；有视频时同步定位</w:t>
            </w:r>
          </w:p>
        </w:tc>
      </w:tr>
      <w:tr>
        <w:trPr>
          <w:cantSplit/>
        </w:trPr>
        <w:tc>
          <w:tcPr>
            <w:tcW w:type="dxa" w:w="4649"/>
          </w:tcPr>
          <w:p>
            <w:r>
              <w:rPr>
                <w:sz w:val="16"/>
              </w:rPr>
              <w:t>可优化点</w:t>
            </w:r>
          </w:p>
        </w:tc>
        <w:tc>
          <w:tcPr>
            <w:tcW w:type="dxa" w:w="4649"/>
          </w:tcPr>
          <w:p>
            <w:r>
              <w:rPr>
                <w:sz w:val="16"/>
              </w:rPr>
              <w:t>优先级、问题描述、课堂证据、片段跳转、下一堂课的实践动作</w:t>
            </w:r>
          </w:p>
        </w:tc>
      </w:tr>
      <w:tr>
        <w:trPr>
          <w:cantSplit/>
        </w:trPr>
        <w:tc>
          <w:tcPr>
            <w:tcW w:type="dxa" w:w="4649"/>
          </w:tcPr>
          <w:p>
            <w:r>
              <w:rPr>
                <w:sz w:val="16"/>
              </w:rPr>
              <w:t>AI 追问</w:t>
            </w:r>
          </w:p>
        </w:tc>
        <w:tc>
          <w:tcPr>
            <w:tcW w:type="dxa" w:w="4649"/>
          </w:tcPr>
          <w:p>
            <w:r>
              <w:rPr>
                <w:sz w:val="16"/>
              </w:rPr>
              <w:t>基于当前课堂的连续对话，展示本机模型或规则引擎来源</w:t>
            </w:r>
          </w:p>
        </w:tc>
      </w:tr>
    </w:tbl>
    <w:p/>
    <w:p>
      <w:r>
        <w:t>环节时间轴和建议中的“查看片段”可跳到原文。视频能否在浏览器中直接播放取决于浏览器支持的编码；不支持播放的 AVI/MKV 等仍可由 FFmpeg 转写，不保证所有编码都能在 Web 播放器回放。</w:t>
      </w:r>
    </w:p>
    <w:p>
      <w:pPr>
        <w:pStyle w:val="Heading2"/>
      </w:pPr>
      <w:r>
        <w:t>3.5 报告下载</w:t>
      </w:r>
    </w:p>
    <w:p>
      <w:pPr>
        <w:pStyle w:val="ListBullet"/>
      </w:pPr>
      <w:r>
        <w:t>Markdown：便于教研记录、二次编辑和归档。</w:t>
      </w:r>
    </w:p>
    <w:p>
      <w:pPr>
        <w:pStyle w:val="ListBullet"/>
      </w:pPr>
      <w:r>
        <w:t>JSON：包含课堂元信息与全部蒸馏数据，便于学校后续研究。</w:t>
      </w:r>
    </w:p>
    <w:p>
      <w:pPr>
        <w:pStyle w:val="ListBullet"/>
      </w:pPr>
      <w:r>
        <w:t>HTML：自包含文本报告，无外部字体或脚本；下载后打开，通过浏览器“打印 → 另存为 PDF”。不是服务端直接生成 PDF。</w:t>
      </w:r>
    </w:p>
    <w:p>
      <w:r>
        <w:t>报告包含教学画像、指标、时间分配、优化清单、方法边界和完整转写。示例报告明确标注合成性质。下载事件记入本地审计。</w:t>
      </w:r>
    </w:p>
    <w:p>
      <w:pPr>
        <w:pStyle w:val="Heading1"/>
      </w:pPr>
      <w:r>
        <w:t>4. 分析方法与计算口径</w:t>
      </w:r>
    </w:p>
    <w:p>
      <w:pPr>
        <w:pStyle w:val="Heading2"/>
      </w:pPr>
      <w:r>
        <w:t>4.1 蒸馏数据结构</w:t>
      </w:r>
    </w:p>
    <w:p>
      <w:r>
        <w:t>每个话语片段包含：id、start、end、text、timing、speaker、stage、question、interaction。其中 timing 为 asr、provided 或 estimated。</w:t>
      </w:r>
    </w:p>
    <w:p>
      <w:r>
        <w:t>分析结果包括 summary、metrics、segments、timeline、distribution、questions、interactions、fillers、rhythm、suggestions 和 limitations。默认 engine=local-text-rules，版本字段为 1.0。</w:t>
      </w:r>
    </w:p>
    <w:p>
      <w:pPr>
        <w:pStyle w:val="Heading2"/>
      </w:pPr>
      <w:r>
        <w:t>4.2 文本清洗</w:t>
      </w:r>
    </w:p>
    <w:p>
      <w:r>
        <w:t>去除 HTML 风格标签、零宽或 BOM 等不可见字符，合并连续空白，剔除空段。不会为“美化”转写而删去口头词，否则语言习惯统计失真。ASR 原文不由云端纠错或补写。</w:t>
      </w:r>
    </w:p>
    <w:p>
      <w:pPr>
        <w:pStyle w:val="Heading2"/>
      </w:pPr>
      <w:r>
        <w:t>4.3 教学环节</w:t>
      </w:r>
    </w:p>
    <w:p>
      <w:r>
        <w:t>规则优先级依次为：课堂导入、探究互动、练习巩固、总结回顾；没有命中关键词时归入知识讲授。关键词示例：</w:t>
      </w:r>
    </w:p>
    <w:tbl>
      <w:tblPr>
        <w:tblStyle w:val="LightShading-Accent1"/>
        <w:tblW w:type="auto" w:w="0"/>
        <w:tblLook w:firstColumn="1" w:firstRow="1" w:lastColumn="0" w:lastRow="0" w:noHBand="0" w:noVBand="1" w:val="04A0"/>
      </w:tblPr>
      <w:tblGrid>
        <w:gridCol w:w="4649"/>
        <w:gridCol w:w="4649"/>
      </w:tblGrid>
      <w:tr>
        <w:trPr>
          <w:cantSplit/>
          <w:tblHeader/>
        </w:trPr>
        <w:tc>
          <w:tcPr>
            <w:tcW w:type="dxa" w:w="4649"/>
          </w:tcPr>
          <w:p>
            <w:r>
              <w:rPr>
                <w:sz w:val="16"/>
              </w:rPr>
              <w:t>环节</w:t>
            </w:r>
          </w:p>
        </w:tc>
        <w:tc>
          <w:tcPr>
            <w:tcW w:type="dxa" w:w="4649"/>
          </w:tcPr>
          <w:p>
            <w:r>
              <w:rPr>
                <w:sz w:val="16"/>
              </w:rPr>
              <w:t>关键词示例</w:t>
            </w:r>
          </w:p>
        </w:tc>
      </w:tr>
      <w:tr>
        <w:trPr>
          <w:cantSplit/>
        </w:trPr>
        <w:tc>
          <w:tcPr>
            <w:tcW w:type="dxa" w:w="4649"/>
          </w:tcPr>
          <w:p>
            <w:r>
              <w:rPr>
                <w:sz w:val="16"/>
              </w:rPr>
              <w:t>课堂导入</w:t>
            </w:r>
          </w:p>
        </w:tc>
        <w:tc>
          <w:tcPr>
            <w:tcW w:type="dxa" w:w="4649"/>
          </w:tcPr>
          <w:p>
            <w:r>
              <w:rPr>
                <w:sz w:val="16"/>
              </w:rPr>
              <w:t>上节课、今天我们、同学们好、回顾、导入</w:t>
            </w:r>
          </w:p>
        </w:tc>
      </w:tr>
      <w:tr>
        <w:trPr>
          <w:cantSplit/>
        </w:trPr>
        <w:tc>
          <w:tcPr>
            <w:tcW w:type="dxa" w:w="4649"/>
          </w:tcPr>
          <w:p>
            <w:r>
              <w:rPr>
                <w:sz w:val="16"/>
              </w:rPr>
              <w:t>探究互动</w:t>
            </w:r>
          </w:p>
        </w:tc>
        <w:tc>
          <w:tcPr>
            <w:tcW w:type="dxa" w:w="4649"/>
          </w:tcPr>
          <w:p>
            <w:r>
              <w:rPr>
                <w:sz w:val="16"/>
              </w:rPr>
              <w:t>讨论、小组、谁来、你认为、为什么、想一想、试一试</w:t>
            </w:r>
          </w:p>
        </w:tc>
      </w:tr>
      <w:tr>
        <w:trPr>
          <w:cantSplit/>
        </w:trPr>
        <w:tc>
          <w:tcPr>
            <w:tcW w:type="dxa" w:w="4649"/>
          </w:tcPr>
          <w:p>
            <w:r>
              <w:rPr>
                <w:sz w:val="16"/>
              </w:rPr>
              <w:t>练习巩固</w:t>
            </w:r>
          </w:p>
        </w:tc>
        <w:tc>
          <w:tcPr>
            <w:tcW w:type="dxa" w:w="4649"/>
          </w:tcPr>
          <w:p>
            <w:r>
              <w:rPr>
                <w:sz w:val="16"/>
              </w:rPr>
              <w:t>练习、完成、做一做、作业、计算、独立</w:t>
            </w:r>
          </w:p>
        </w:tc>
      </w:tr>
      <w:tr>
        <w:trPr>
          <w:cantSplit/>
        </w:trPr>
        <w:tc>
          <w:tcPr>
            <w:tcW w:type="dxa" w:w="4649"/>
          </w:tcPr>
          <w:p>
            <w:r>
              <w:rPr>
                <w:sz w:val="16"/>
              </w:rPr>
              <w:t>总结回顾</w:t>
            </w:r>
          </w:p>
        </w:tc>
        <w:tc>
          <w:tcPr>
            <w:tcW w:type="dxa" w:w="4649"/>
          </w:tcPr>
          <w:p>
            <w:r>
              <w:rPr>
                <w:sz w:val="16"/>
              </w:rPr>
              <w:t>总结、这节课、下课、收获、归纳</w:t>
            </w:r>
          </w:p>
        </w:tc>
      </w:tr>
    </w:tbl>
    <w:p/>
    <w:p>
      <w:r>
        <w:t>相邻同类环节在片段间隔小于 15 秒时合并。规则可能把介绍“讨论”一词的讲授识别为互动，也可能漏掉没有关键词的互动。因此这些是待教师核实的结构化线索，不是人工精确标注。</w:t>
      </w:r>
    </w:p>
    <w:p>
      <w:pPr>
        <w:pStyle w:val="Heading2"/>
      </w:pPr>
      <w:r>
        <w:t>4.4 核心指标</w:t>
      </w:r>
    </w:p>
    <w:tbl>
      <w:tblPr>
        <w:tblStyle w:val="LightShading-Accent1"/>
        <w:tblW w:type="auto" w:w="0"/>
        <w:tblLook w:firstColumn="1" w:firstRow="1" w:lastColumn="0" w:lastRow="0" w:noHBand="0" w:noVBand="1" w:val="04A0"/>
      </w:tblPr>
      <w:tblGrid>
        <w:gridCol w:w="3099"/>
        <w:gridCol w:w="3099"/>
        <w:gridCol w:w="3099"/>
      </w:tblGrid>
      <w:tr>
        <w:trPr>
          <w:cantSplit/>
          <w:tblHeader/>
        </w:trPr>
        <w:tc>
          <w:tcPr>
            <w:tcW w:type="dxa" w:w="3099"/>
          </w:tcPr>
          <w:p>
            <w:r>
              <w:rPr>
                <w:sz w:val="16"/>
              </w:rPr>
              <w:t>指标</w:t>
            </w:r>
          </w:p>
        </w:tc>
        <w:tc>
          <w:tcPr>
            <w:tcW w:type="dxa" w:w="3099"/>
          </w:tcPr>
          <w:p>
            <w:r>
              <w:rPr>
                <w:sz w:val="16"/>
              </w:rPr>
              <w:t>计算方式</w:t>
            </w:r>
          </w:p>
        </w:tc>
        <w:tc>
          <w:tcPr>
            <w:tcW w:type="dxa" w:w="3099"/>
          </w:tcPr>
          <w:p>
            <w:r>
              <w:rPr>
                <w:sz w:val="16"/>
              </w:rPr>
              <w:t>注意事项</w:t>
            </w:r>
          </w:p>
        </w:tc>
      </w:tr>
      <w:tr>
        <w:trPr>
          <w:cantSplit/>
        </w:trPr>
        <w:tc>
          <w:tcPr>
            <w:tcW w:type="dxa" w:w="3099"/>
          </w:tcPr>
          <w:p>
            <w:r>
              <w:rPr>
                <w:sz w:val="16"/>
              </w:rPr>
              <w:t>课堂时长</w:t>
            </w:r>
          </w:p>
        </w:tc>
        <w:tc>
          <w:tcPr>
            <w:tcW w:type="dxa" w:w="3099"/>
          </w:tcPr>
          <w:p>
            <w:r>
              <w:rPr>
                <w:sz w:val="16"/>
              </w:rPr>
              <w:t>视频时长与末段结束时间中的较大值</w:t>
            </w:r>
          </w:p>
        </w:tc>
        <w:tc>
          <w:tcPr>
            <w:tcW w:type="dxa" w:w="3099"/>
          </w:tcPr>
          <w:p>
            <w:r>
              <w:rPr>
                <w:sz w:val="16"/>
              </w:rPr>
              <w:t>TXT 为估算时长</w:t>
            </w:r>
          </w:p>
        </w:tc>
      </w:tr>
      <w:tr>
        <w:trPr>
          <w:cantSplit/>
        </w:trPr>
        <w:tc>
          <w:tcPr>
            <w:tcW w:type="dxa" w:w="3099"/>
          </w:tcPr>
          <w:p>
            <w:r>
              <w:rPr>
                <w:sz w:val="16"/>
              </w:rPr>
              <w:t>有效字符</w:t>
            </w:r>
          </w:p>
        </w:tc>
        <w:tc>
          <w:tcPr>
            <w:tcW w:type="dxa" w:w="3099"/>
          </w:tcPr>
          <w:p>
            <w:r>
              <w:rPr>
                <w:sz w:val="16"/>
              </w:rPr>
              <w:t>清洗后移除非词字符的数量</w:t>
            </w:r>
          </w:p>
        </w:tc>
        <w:tc>
          <w:tcPr>
            <w:tcW w:type="dxa" w:w="3099"/>
          </w:tcPr>
          <w:p>
            <w:r>
              <w:rPr>
                <w:sz w:val="16"/>
              </w:rPr>
              <w:t>不等于分词意义的词数</w:t>
            </w:r>
          </w:p>
        </w:tc>
      </w:tr>
      <w:tr>
        <w:trPr>
          <w:cantSplit/>
        </w:trPr>
        <w:tc>
          <w:tcPr>
            <w:tcW w:type="dxa" w:w="3099"/>
          </w:tcPr>
          <w:p>
            <w:r>
              <w:rPr>
                <w:sz w:val="16"/>
              </w:rPr>
              <w:t>话语片段</w:t>
            </w:r>
          </w:p>
        </w:tc>
        <w:tc>
          <w:tcPr>
            <w:tcW w:type="dxa" w:w="3099"/>
          </w:tcPr>
          <w:p>
            <w:r>
              <w:rPr>
                <w:sz w:val="16"/>
              </w:rPr>
              <w:t>非空转写片段数量</w:t>
            </w:r>
          </w:p>
        </w:tc>
        <w:tc>
          <w:tcPr>
            <w:tcW w:type="dxa" w:w="3099"/>
          </w:tcPr>
          <w:p>
            <w:r>
              <w:rPr>
                <w:sz w:val="16"/>
              </w:rPr>
              <w:t>ASR 切分粒度会影响数量</w:t>
            </w:r>
          </w:p>
        </w:tc>
      </w:tr>
      <w:tr>
        <w:trPr>
          <w:cantSplit/>
        </w:trPr>
        <w:tc>
          <w:tcPr>
            <w:tcW w:type="dxa" w:w="3099"/>
          </w:tcPr>
          <w:p>
            <w:r>
              <w:rPr>
                <w:sz w:val="16"/>
              </w:rPr>
              <w:t>提问线索</w:t>
            </w:r>
          </w:p>
        </w:tc>
        <w:tc>
          <w:tcPr>
            <w:tcW w:type="dxa" w:w="3099"/>
          </w:tcPr>
          <w:p>
            <w:r>
              <w:rPr>
                <w:sz w:val="16"/>
              </w:rPr>
              <w:t>含问号或“为什么/如何/什么/是否”等疑问线索的片段数</w:t>
            </w:r>
          </w:p>
        </w:tc>
        <w:tc>
          <w:tcPr>
            <w:tcW w:type="dxa" w:w="3099"/>
          </w:tcPr>
          <w:p>
            <w:r>
              <w:rPr>
                <w:sz w:val="16"/>
              </w:rPr>
              <w:t>一个片段中多问仍按一处计算，不区分教师与学生</w:t>
            </w:r>
          </w:p>
        </w:tc>
      </w:tr>
      <w:tr>
        <w:trPr>
          <w:cantSplit/>
        </w:trPr>
        <w:tc>
          <w:tcPr>
            <w:tcW w:type="dxa" w:w="3099"/>
          </w:tcPr>
          <w:p>
            <w:r>
              <w:rPr>
                <w:sz w:val="16"/>
              </w:rPr>
              <w:t>互动邀请</w:t>
            </w:r>
          </w:p>
        </w:tc>
        <w:tc>
          <w:tcPr>
            <w:tcW w:type="dxa" w:w="3099"/>
          </w:tcPr>
          <w:p>
            <w:r>
              <w:rPr>
                <w:sz w:val="16"/>
              </w:rPr>
              <w:t>含“讨论/小组/谁来/请回答/举手/分享/你认为/同桌”等词的片段数</w:t>
            </w:r>
          </w:p>
        </w:tc>
        <w:tc>
          <w:tcPr>
            <w:tcW w:type="dxa" w:w="3099"/>
          </w:tcPr>
          <w:p>
            <w:r>
              <w:rPr>
                <w:sz w:val="16"/>
              </w:rPr>
              <w:t>不代表实际参与人数或有效互动次数</w:t>
            </w:r>
          </w:p>
        </w:tc>
      </w:tr>
      <w:tr>
        <w:trPr>
          <w:cantSplit/>
        </w:trPr>
        <w:tc>
          <w:tcPr>
            <w:tcW w:type="dxa" w:w="3099"/>
          </w:tcPr>
          <w:p>
            <w:r>
              <w:rPr>
                <w:sz w:val="16"/>
              </w:rPr>
              <w:t>话语语速</w:t>
            </w:r>
          </w:p>
        </w:tc>
        <w:tc>
          <w:tcPr>
            <w:tcW w:type="dxa" w:w="3099"/>
          </w:tcPr>
          <w:p>
            <w:r>
              <w:rPr>
                <w:sz w:val="16"/>
              </w:rPr>
              <w:t>有效字符 ÷ 全部话语片段有效时长（分钟）</w:t>
            </w:r>
          </w:p>
        </w:tc>
        <w:tc>
          <w:tcPr>
            <w:tcW w:type="dxa" w:w="3099"/>
          </w:tcPr>
          <w:p>
            <w:r>
              <w:rPr>
                <w:sz w:val="16"/>
              </w:rPr>
              <w:t>不含视频静默区间，非纯教师语速；重叠字幕会影响结果</w:t>
            </w:r>
          </w:p>
        </w:tc>
      </w:tr>
      <w:tr>
        <w:trPr>
          <w:cantSplit/>
        </w:trPr>
        <w:tc>
          <w:tcPr>
            <w:tcW w:type="dxa" w:w="3099"/>
          </w:tcPr>
          <w:p>
            <w:r>
              <w:rPr>
                <w:sz w:val="16"/>
              </w:rPr>
              <w:t>时间分配</w:t>
            </w:r>
          </w:p>
        </w:tc>
        <w:tc>
          <w:tcPr>
            <w:tcW w:type="dxa" w:w="3099"/>
          </w:tcPr>
          <w:p>
            <w:r>
              <w:rPr>
                <w:sz w:val="16"/>
              </w:rPr>
              <w:t>某环节片段时长之和 ÷ 全部有效话语时长</w:t>
            </w:r>
          </w:p>
        </w:tc>
        <w:tc>
          <w:tcPr>
            <w:tcW w:type="dxa" w:w="3099"/>
          </w:tcPr>
          <w:p>
            <w:r>
              <w:rPr>
                <w:sz w:val="16"/>
              </w:rPr>
              <w:t>不等于整个视频包含静默的时间占比</w:t>
            </w:r>
          </w:p>
        </w:tc>
      </w:tr>
      <w:tr>
        <w:trPr>
          <w:cantSplit/>
        </w:trPr>
        <w:tc>
          <w:tcPr>
            <w:tcW w:type="dxa" w:w="3099"/>
          </w:tcPr>
          <w:p>
            <w:r>
              <w:rPr>
                <w:sz w:val="16"/>
              </w:rPr>
              <w:t>互动节奏</w:t>
            </w:r>
          </w:p>
        </w:tc>
        <w:tc>
          <w:tcPr>
            <w:tcW w:type="dxa" w:w="3099"/>
          </w:tcPr>
          <w:p>
            <w:r>
              <w:rPr>
                <w:sz w:val="16"/>
              </w:rPr>
              <w:t>将课堂时间等分为 12 个区间，按片段开始时间归入区间</w:t>
            </w:r>
          </w:p>
        </w:tc>
        <w:tc>
          <w:tcPr>
            <w:tcW w:type="dxa" w:w="3099"/>
          </w:tcPr>
          <w:p>
            <w:r>
              <w:rPr>
                <w:sz w:val="16"/>
              </w:rPr>
              <w:t>曲线展示线索计数，不是质量评分</w:t>
            </w:r>
          </w:p>
        </w:tc>
      </w:tr>
      <w:tr>
        <w:trPr>
          <w:cantSplit/>
        </w:trPr>
        <w:tc>
          <w:tcPr>
            <w:tcW w:type="dxa" w:w="3099"/>
          </w:tcPr>
          <w:p>
            <w:r>
              <w:rPr>
                <w:sz w:val="16"/>
              </w:rPr>
              <w:t>语言习惯</w:t>
            </w:r>
          </w:p>
        </w:tc>
        <w:tc>
          <w:tcPr>
            <w:tcW w:type="dxa" w:w="3099"/>
          </w:tcPr>
          <w:p>
            <w:r>
              <w:rPr>
                <w:sz w:val="16"/>
              </w:rPr>
              <w:t>“那么/然后/就是说/对不对/是不是/嗯/那个”等表达出现次数</w:t>
            </w:r>
          </w:p>
        </w:tc>
        <w:tc>
          <w:tcPr>
            <w:tcW w:type="dxa" w:w="3099"/>
          </w:tcPr>
          <w:p>
            <w:r>
              <w:rPr>
                <w:sz w:val="16"/>
              </w:rPr>
              <w:t>合理教学用法仍会被计入，应人工复核</w:t>
            </w:r>
          </w:p>
        </w:tc>
      </w:tr>
    </w:tbl>
    <w:p/>
    <w:p>
      <w:r>
        <w:t>工作概览汇总真实课堂；已登录空间中的合成示例不计入真实教学总量。只读体验工作台则显示示例本身的统计，并有显著示例标识。</w:t>
      </w:r>
    </w:p>
    <w:p>
      <w:pPr>
        <w:pStyle w:val="Heading2"/>
      </w:pPr>
      <w:r>
        <w:t>4.5 可优化点</w:t>
      </w:r>
    </w:p>
    <w:p>
      <w:r>
        <w:t>当前建议依据互动邀请数量、提问示例、口头表达频次以及总结线索是否存在来生成。每条建议含优先级、标题、证据、实施动作和片段编号。例如互动线索较少时建议加入“独立思考 30 秒 → 同桌交流 60 秒 → 两人分享”，并关联课堂中的连续环节。</w:t>
      </w:r>
    </w:p>
    <w:p>
      <w:r>
        <w:t>建议属于教研启发，不宣称某一种教学方式适用于所有学科或课型。用户应结合教学目标、年级、学情和原始视频判断。</w:t>
      </w:r>
    </w:p>
    <w:p>
      <w:pPr>
        <w:pStyle w:val="Heading1"/>
      </w:pPr>
      <w:r>
        <w:t>5. Agent 与可配置模型追问</w:t>
      </w:r>
    </w:p>
    <w:p>
      <w:r>
        <w:t>系统采用明确的本地任务管线：媒体检查 → 抽帧 → ASR → 文本蒸馏 → 分析报告 → 基于证据的追问。不会执行课堂文本中的命令，也不开放任意工具调用或外部网页检索。</w:t>
      </w:r>
    </w:p>
    <w:p>
      <w:r>
        <w:t>配置了 Ollama 时，请求仅发送到 OLLAMA_URL 指定的本机回环 IP。发送给模型的上下文包括当前课堂摘要、指标、优化建议、前 100 个转写片段和最近 8 条对话消息。长课堂后半段若不在上下文内，模型无法逐段完整理解；应通过片段引用与报告核实，不能假定已读取全部原文。</w:t>
      </w:r>
    </w:p>
    <w:p>
      <w:r>
        <w:t>模型提示要求区分观察与建议、引用证据、不得虚构师生占比，并将转写作为不可信待分析数据。所有回答最终仍需教师复核。</w:t>
      </w:r>
    </w:p>
    <w:p>
      <w:r>
        <w:t>请求默认超时为 60 秒，输出上限参数为 900 tokens，温度 0.3。不在线拉取模型。连接失败、模型不存在或返回异常时使用本地规则建议，界面清楚显示来源。规则模式依据问题中的互动、提问、语言等关键词选择相关建议，不承诺大模型自由对话能力。</w:t>
      </w:r>
    </w:p>
    <w:p>
      <w:pPr>
        <w:pStyle w:val="Heading2"/>
      </w:pPr>
      <w:r>
        <w:t>5.1 在线模型设置操作</w:t>
      </w:r>
    </w:p>
    <w:p>
      <w:pPr>
        <w:pStyle w:val="ListNumber"/>
      </w:pPr>
      <w:r>
        <w:t>在学校本地部署登录教师账号，进入“空间设置 → 模型服务设置”。</w:t>
      </w:r>
    </w:p>
    <w:p>
      <w:pPr>
        <w:pStyle w:val="ListNumber"/>
      </w:pPr>
      <w:r>
        <w:t>选择“OpenAI 兼容服务”。填写服务的 API 前缀，例如 https://api.openai.com/v1，不要填写网页聊天入口；系统会调用 /chat/completions。也接受以 /chat/completions 结尾的地址并自动规范化。</w:t>
      </w:r>
    </w:p>
    <w:p>
      <w:pPr>
        <w:pStyle w:val="ListNumber"/>
      </w:pPr>
      <w:r>
        <w:t>填写服务商实际支持的模型 ID 和 API Key。免鉴权的兼容服务可以不填密钥。禁止 URL 内嵌账号、查询参数、片段和无效端口。</w:t>
      </w:r>
    </w:p>
    <w:p>
      <w:pPr>
        <w:pStyle w:val="ListNumber"/>
      </w:pPr>
      <w:r>
        <w:t>阅读数据发送范围并勾选同意。点击“测试连接”发送一条固定测试语句，不包含课堂数据；可能产生少量模型费用。测试成功不等于已保存设置。</w:t>
      </w:r>
    </w:p>
    <w:p>
      <w:pPr>
        <w:pStyle w:val="ListNumber"/>
      </w:pPr>
      <w:r>
        <w:t>点击“保存模型设置”。下一次追问读取当前账号配置。配置后进入课堂的“AI 追问”查看目标服务和回答来源。</w:t>
      </w:r>
    </w:p>
    <w:p>
      <w:pPr>
        <w:pStyle w:val="ListNumber"/>
      </w:pPr>
      <w:r>
        <w:t>需要关闭在线请求时，选择“本地规则建议”或“本机 Ollama”并保存。切换模式不会自动删除已保存密钥，需要删除时在兼容服务面板勾选清除并保存。</w:t>
      </w:r>
    </w:p>
    <w:tbl>
      <w:tblPr>
        <w:tblStyle w:val="LightShading-Accent1"/>
        <w:tblW w:type="auto" w:w="0"/>
        <w:tblLook w:firstColumn="1" w:firstRow="1" w:lastColumn="0" w:lastRow="0" w:noHBand="0" w:noVBand="1" w:val="04A0"/>
      </w:tblPr>
      <w:tblGrid>
        <w:gridCol w:w="3099"/>
        <w:gridCol w:w="3099"/>
        <w:gridCol w:w="3099"/>
      </w:tblGrid>
      <w:tr>
        <w:trPr>
          <w:cantSplit/>
          <w:tblHeader/>
        </w:trPr>
        <w:tc>
          <w:tcPr>
            <w:tcW w:type="dxa" w:w="3099"/>
          </w:tcPr>
          <w:p>
            <w:r>
              <w:rPr>
                <w:sz w:val="16"/>
              </w:rPr>
              <w:t>设置项</w:t>
            </w:r>
          </w:p>
        </w:tc>
        <w:tc>
          <w:tcPr>
            <w:tcW w:type="dxa" w:w="3099"/>
          </w:tcPr>
          <w:p>
            <w:r>
              <w:rPr>
                <w:sz w:val="16"/>
              </w:rPr>
              <w:t>默认值 / 范围</w:t>
            </w:r>
          </w:p>
        </w:tc>
        <w:tc>
          <w:tcPr>
            <w:tcW w:type="dxa" w:w="3099"/>
          </w:tcPr>
          <w:p>
            <w:r>
              <w:rPr>
                <w:sz w:val="16"/>
              </w:rPr>
              <w:t>行为</w:t>
            </w:r>
          </w:p>
        </w:tc>
      </w:tr>
      <w:tr>
        <w:trPr>
          <w:cantSplit/>
        </w:trPr>
        <w:tc>
          <w:tcPr>
            <w:tcW w:type="dxa" w:w="3099"/>
          </w:tcPr>
          <w:p>
            <w:r>
              <w:rPr>
                <w:sz w:val="16"/>
              </w:rPr>
              <w:t>提供方式</w:t>
            </w:r>
          </w:p>
        </w:tc>
        <w:tc>
          <w:tcPr>
            <w:tcW w:type="dxa" w:w="3099"/>
          </w:tcPr>
          <w:p>
            <w:r>
              <w:rPr>
                <w:sz w:val="16"/>
              </w:rPr>
              <w:t>本机 Ollama</w:t>
            </w:r>
          </w:p>
        </w:tc>
        <w:tc>
          <w:tcPr>
            <w:tcW w:type="dxa" w:w="3099"/>
          </w:tcPr>
          <w:p>
            <w:r>
              <w:rPr>
                <w:sz w:val="16"/>
              </w:rPr>
              <w:t>local / rules / openai，账号互不影响</w:t>
            </w:r>
          </w:p>
        </w:tc>
      </w:tr>
      <w:tr>
        <w:trPr>
          <w:cantSplit/>
        </w:trPr>
        <w:tc>
          <w:tcPr>
            <w:tcW w:type="dxa" w:w="3099"/>
          </w:tcPr>
          <w:p>
            <w:r>
              <w:rPr>
                <w:sz w:val="16"/>
              </w:rPr>
              <w:t>Base URL</w:t>
            </w:r>
          </w:p>
        </w:tc>
        <w:tc>
          <w:tcPr>
            <w:tcW w:type="dxa" w:w="3099"/>
          </w:tcPr>
          <w:p>
            <w:r>
              <w:rPr>
                <w:sz w:val="16"/>
              </w:rPr>
              <w:t>https://api.openai.com/v1</w:t>
            </w:r>
          </w:p>
        </w:tc>
        <w:tc>
          <w:tcPr>
            <w:tcW w:type="dxa" w:w="3099"/>
          </w:tcPr>
          <w:p>
            <w:r>
              <w:rPr>
                <w:sz w:val="16"/>
              </w:rPr>
              <w:t>仅服务前缀；支持 HTTP / HTTPS、域名或 IP</w:t>
            </w:r>
          </w:p>
        </w:tc>
      </w:tr>
      <w:tr>
        <w:trPr>
          <w:cantSplit/>
        </w:trPr>
        <w:tc>
          <w:tcPr>
            <w:tcW w:type="dxa" w:w="3099"/>
          </w:tcPr>
          <w:p>
            <w:r>
              <w:rPr>
                <w:sz w:val="16"/>
              </w:rPr>
              <w:t>模型 ID</w:t>
            </w:r>
          </w:p>
        </w:tc>
        <w:tc>
          <w:tcPr>
            <w:tcW w:type="dxa" w:w="3099"/>
          </w:tcPr>
          <w:p>
            <w:r>
              <w:rPr>
                <w:sz w:val="16"/>
              </w:rPr>
              <w:t>未配置</w:t>
            </w:r>
          </w:p>
        </w:tc>
        <w:tc>
          <w:tcPr>
            <w:tcW w:type="dxa" w:w="3099"/>
          </w:tcPr>
          <w:p>
            <w:r>
              <w:rPr>
                <w:sz w:val="16"/>
              </w:rPr>
              <w:t>openai 模式必填，由服务商确定</w:t>
            </w:r>
          </w:p>
        </w:tc>
      </w:tr>
      <w:tr>
        <w:trPr>
          <w:cantSplit/>
        </w:trPr>
        <w:tc>
          <w:tcPr>
            <w:tcW w:type="dxa" w:w="3099"/>
          </w:tcPr>
          <w:p>
            <w:r>
              <w:rPr>
                <w:sz w:val="16"/>
              </w:rPr>
              <w:t>API Key</w:t>
            </w:r>
          </w:p>
        </w:tc>
        <w:tc>
          <w:tcPr>
            <w:tcW w:type="dxa" w:w="3099"/>
          </w:tcPr>
          <w:p>
            <w:r>
              <w:rPr>
                <w:sz w:val="16"/>
              </w:rPr>
              <w:t>未配置</w:t>
            </w:r>
          </w:p>
        </w:tc>
        <w:tc>
          <w:tcPr>
            <w:tcW w:type="dxa" w:w="3099"/>
          </w:tcPr>
          <w:p>
            <w:r>
              <w:rPr>
                <w:sz w:val="16"/>
              </w:rPr>
              <w:t>只写不读回；同地址留空保留，换地址清除旧密钥</w:t>
            </w:r>
          </w:p>
        </w:tc>
      </w:tr>
      <w:tr>
        <w:trPr>
          <w:cantSplit/>
        </w:trPr>
        <w:tc>
          <w:tcPr>
            <w:tcW w:type="dxa" w:w="3099"/>
          </w:tcPr>
          <w:p>
            <w:r>
              <w:rPr>
                <w:sz w:val="16"/>
              </w:rPr>
              <w:t>允许文本外发</w:t>
            </w:r>
          </w:p>
        </w:tc>
        <w:tc>
          <w:tcPr>
            <w:tcW w:type="dxa" w:w="3099"/>
          </w:tcPr>
          <w:p>
            <w:r>
              <w:rPr>
                <w:sz w:val="16"/>
              </w:rPr>
              <w:t>否</w:t>
            </w:r>
          </w:p>
        </w:tc>
        <w:tc>
          <w:tcPr>
            <w:tcW w:type="dxa" w:w="3099"/>
          </w:tcPr>
          <w:p>
            <w:r>
              <w:rPr>
                <w:sz w:val="16"/>
              </w:rPr>
              <w:t>openai 模式测试及保存前必须明确同意</w:t>
            </w:r>
          </w:p>
        </w:tc>
      </w:tr>
      <w:tr>
        <w:trPr>
          <w:cantSplit/>
        </w:trPr>
        <w:tc>
          <w:tcPr>
            <w:tcW w:type="dxa" w:w="3099"/>
          </w:tcPr>
          <w:p>
            <w:r>
              <w:rPr>
                <w:sz w:val="16"/>
              </w:rPr>
              <w:t>请求超时</w:t>
            </w:r>
          </w:p>
        </w:tc>
        <w:tc>
          <w:tcPr>
            <w:tcW w:type="dxa" w:w="3099"/>
          </w:tcPr>
          <w:p>
            <w:r>
              <w:rPr>
                <w:sz w:val="16"/>
              </w:rPr>
              <w:t>60 秒；5–120</w:t>
            </w:r>
          </w:p>
        </w:tc>
        <w:tc>
          <w:tcPr>
            <w:tcW w:type="dxa" w:w="3099"/>
          </w:tcPr>
          <w:p>
            <w:r>
              <w:rPr>
                <w:sz w:val="16"/>
              </w:rPr>
              <w:t>包含总请求时间限制</w:t>
            </w:r>
          </w:p>
        </w:tc>
      </w:tr>
      <w:tr>
        <w:trPr>
          <w:cantSplit/>
        </w:trPr>
        <w:tc>
          <w:tcPr>
            <w:tcW w:type="dxa" w:w="3099"/>
          </w:tcPr>
          <w:p>
            <w:r>
              <w:rPr>
                <w:sz w:val="16"/>
              </w:rPr>
              <w:t>温度</w:t>
            </w:r>
          </w:p>
        </w:tc>
        <w:tc>
          <w:tcPr>
            <w:tcW w:type="dxa" w:w="3099"/>
          </w:tcPr>
          <w:p>
            <w:r>
              <w:rPr>
                <w:sz w:val="16"/>
              </w:rPr>
              <w:t>0.3；0–2</w:t>
            </w:r>
          </w:p>
        </w:tc>
        <w:tc>
          <w:tcPr>
            <w:tcW w:type="dxa" w:w="3099"/>
          </w:tcPr>
          <w:p>
            <w:r>
              <w:rPr>
                <w:sz w:val="16"/>
              </w:rPr>
              <w:t>服务需支持 temperature 参数</w:t>
            </w:r>
          </w:p>
        </w:tc>
      </w:tr>
      <w:tr>
        <w:trPr>
          <w:cantSplit/>
        </w:trPr>
        <w:tc>
          <w:tcPr>
            <w:tcW w:type="dxa" w:w="3099"/>
          </w:tcPr>
          <w:p>
            <w:r>
              <w:rPr>
                <w:sz w:val="16"/>
              </w:rPr>
              <w:t>输出上限</w:t>
            </w:r>
          </w:p>
        </w:tc>
        <w:tc>
          <w:tcPr>
            <w:tcW w:type="dxa" w:w="3099"/>
          </w:tcPr>
          <w:p>
            <w:r>
              <w:rPr>
                <w:sz w:val="16"/>
              </w:rPr>
              <w:t>900；128–4096</w:t>
            </w:r>
          </w:p>
        </w:tc>
        <w:tc>
          <w:tcPr>
            <w:tcW w:type="dxa" w:w="3099"/>
          </w:tcPr>
          <w:p>
            <w:r>
              <w:rPr>
                <w:sz w:val="16"/>
              </w:rPr>
              <w:t>使用 max_tokens 参数</w:t>
            </w:r>
          </w:p>
        </w:tc>
      </w:tr>
    </w:tbl>
    <w:p/>
    <w:p>
      <w:r>
        <w:t>兼容范围为 HTTP Chat Completions、Bearer 鉴权（可选）、stream=true SSE 文本增量 choices[].delta.content；结束标记为 finish_reason 或 [DONE]。本机 Ollama 使用 /api/chat 的 NDJSON 流及 done 标记。连接测试同样使用流式协议，验证草稿配置但不保存、不发送课堂数据。旧版非流式 POST 对话 API 保留兼容。本版本不支持 Responses API、工具调用、图像输入或某些推理模型的专用参数；服务需支持 temperature/max_tokens。</w:t>
      </w:r>
    </w:p>
    <w:p>
      <w:pPr>
        <w:pStyle w:val="Heading2"/>
      </w:pPr>
      <w:r>
        <w:t>5.2 数据流向、错误与凭据管理</w:t>
      </w:r>
    </w:p>
    <w:p>
      <w:r>
        <w:t>默认本地处理保持不变。在线仅作用于教研追问：发送当前课堂摘要、指标、优化建议、方法边界、前 100 个转写片段、最近 8 条历史消息与当前问题。视频、音频、抽帧、其他教师数据及基础报告计算不外发。长课超过 100 段的原文不会全部提供给模型；历史中已有的课堂引用也可能随历史消息发出。学校应按自己的数据制度决定是否启用。</w:t>
      </w:r>
    </w:p>
    <w:p>
      <w:r>
        <w:t>在线失败明确显示原因：401/403 显示认证失败，404 显示地址或模型不存在，429 显示限流或额度不足。流已建立后的错误通过终止事件返回，不能再更改 HTTP 200 状态；前端将其显示为失败并保留部分回答。连接测试超时返回 504，其余服务故障通常返回 502。重定向不自动跟随；流响应超过 1 MB、空文本、非法 JSON、缺失结束标记、长度截断或工具调用均报告失败，不静默切换规则。Ollama 仅在尚未输出文字时允许退回规则；中途失败保留原回答并标为失败，避免混合两种回答。手动规则模式不发模型请求。</w:t>
      </w:r>
    </w:p>
    <w:p>
      <w:r>
        <w:t>凭据由 Fernet 加密后存入本地 SQLite；主密钥保存于数据目录 model-settings.key。接口仅返回 api_key_configured，不返回原文或密文。密钥不存入浏览器 localStorage，不进入审计日志、课堂报告或按账号 ZIP。更改服务地址时不沿用旧密钥，避免把原服务凭据发给新目标。模型设置验证错误不回显原始请求内容。</w:t>
      </w:r>
    </w:p>
    <w:p>
      <w:r>
        <w:t>文件加密不能抵御拥有服务器和解密密钥访问权限的管理员。部署时限制数据目录的操作系统权限；完整灾备必须保护并包含主密钥。缺失主密钥时服务拒绝使用旧凭据，允许清除后重新配置。公开 Pages 只能预览配置，完全不收集 API Key，也不会连接服务。</w:t>
      </w:r>
    </w:p>
    <w:p>
      <w:pPr>
        <w:pStyle w:val="Heading2"/>
      </w:pPr>
      <w:r>
        <w:t>5.3 真正流式输出、停止与重试</w:t>
      </w:r>
    </w:p>
    <w:p>
      <w:r>
        <w:t>模型每返回一段文字，服务端即转发给浏览器并渲染 Markdown，不等待完整回答、不再叠加逐字播放动画。生成前显示“正在等待模型回应”，生成中显示“正在生成回答”。规则模式一次返回完整规则建议；公开 Pages 使用合成文字模拟分段输出，并明确标注不调用模型。</w:t>
      </w:r>
    </w:p>
    <w:p>
      <w:pPr>
        <w:pStyle w:val="ListBullet"/>
      </w:pPr>
      <w:r>
        <w:t>停止生成：首字出现前或输出中均可停止；后端关闭与供应商的 HTTP 流，取消读取任务，保留已收到的文字，状态标记“已停止”。供应商是否终止内部计算或计费取决于其断连处理，系统不承诺供应商侧行为。正常停止等待后端确认；确认失联时浏览器会中断请求。</w:t>
      </w:r>
    </w:p>
    <w:p>
      <w:pPr>
        <w:pStyle w:val="ListBullet"/>
      </w:pPr>
      <w:r>
        <w:t>重试 / 重新生成：最近一轮失败、中断或已停止的回答显示“重试”；完成的回答显示“重新生成”。复用原问题和轮次 ID，替换原回答，尝试次数递增，不增加重复问题。重试使用当前保存的模型设置，旧回答被替换而不另存版本。旧版 API 的历史回答只读展示。</w:t>
      </w:r>
    </w:p>
    <w:p>
      <w:pPr>
        <w:pStyle w:val="ListBullet"/>
      </w:pPr>
      <w:r>
        <w:t>持久化与恢复：轮次保存在本地 chat_turns；状态为 running / stopping / completed / stopped / error / interrupted。生成中按至少 250ms 的间隔检查是否需要保存最新片段，正常结束或中断立即保存；强制断电仅保证已写入的片段。服务启动将未完成轮次标为中断，允许重试。按账号 ZIP 备份包含轮次与状态（manifest schema 2）；生成中拒绝备份。</w:t>
      </w:r>
    </w:p>
    <w:p>
      <w:pPr>
        <w:pStyle w:val="ListBullet"/>
      </w:pPr>
      <w:r>
        <w:t>历史与并发：模型仅使用最近 8 条已完成的历史消息，失败或停止的问答不进入上下文。每课堂最多一个活动生成任务；并发发送、重复请求、过期重试都会被拒绝。停止和重试均执行登录、CSRF、课堂归属检查。</w:t>
      </w:r>
    </w:p>
    <w:p>
      <w:pPr>
        <w:pStyle w:val="ListBullet"/>
      </w:pPr>
      <w:r>
        <w:t>页面行为：生成时禁止重复发送；离开聊天、切换课堂或关闭连接会取消上游请求。重新进入直接显示已保存历史；若另一个窗口仍在生成，可查看持久化进度并停止该请求。向上阅读不被新内容强制拉到底部。尊重减少动态效果设置，光标不闪烁；收到的内容仍实时显示。</w:t>
      </w:r>
    </w:p>
    <w:p>
      <w:r>
        <w:t>助手回复支持标准 Markdown 与 GFM：标题、粗体、斜体、有序/无序及嵌套列表、引用、行内代码、代码块、表格、任务清单、删除线和链接。用户输入保持纯文本。代码块与宽表格在自身区域滚动，手机页面不被撑宽。解析不执行原始 HTML 或脚本，不自动加载模型输出中的远程图片；图片显示说明文字，外部链接需用户主动点击。</w:t>
      </w:r>
    </w:p>
    <w:p>
      <w:r>
        <w:t>对话位于底部时跟随新内容；向上翻阅后停止自动跟随，返回底部后继续。以下为合成回答的实际界面：</w:t>
      </w:r>
    </w:p>
    <w:p>
      <w:r>
        <w:t>![教研助手 Markdown 回答](images/chat-markdown.png)</w:t>
      </w:r>
    </w:p>
    <w:p>
      <w:r>
        <w:t>流式实现计划、协议、验收范围与结果见 [流式对话验收](流式对话验收.md)。实际外部供应商凭据未提供，协议与断连使用真实本机 HTTP 服务检验。</w:t>
      </w:r>
    </w:p>
    <w:p>
      <w:pPr>
        <w:pStyle w:val="Heading1"/>
      </w:pPr>
      <w:r>
        <w:t>6. 架构与本地数据边界</w:t>
      </w:r>
    </w:p>
    <w:p>
      <w:r>
        <w:t>教师浏览器 → 学校内网 FastAPI → 本地数据库 / 按教师隔离的文件目录</w:t>
        <w:br/>
        <w:t>任务队列 → FFmpeg / PyAV → Whisper → 文本蒸馏与报告</w:t>
        <w:br/>
        <w:t>教研追问 → 本机 Ollama / 本地规则 / 显式启用的 OpenAI 兼容服务（仅文本）</w:t>
      </w:r>
    </w:p>
    <w:p>
      <w:pPr>
        <w:pStyle w:val="Heading2"/>
      </w:pPr>
      <w:r>
        <w:t>6.1 技术栈</w:t>
      </w:r>
    </w:p>
    <w:p>
      <w:r>
        <w:t>前端：React 19、TypeScript、Vite、Recharts、Phosphor 图标、自定义 CSS。后端：Python 3.12、FastAPI、SQLite WAL、faster-whisper、FFmpeg。前端构建后的资源由同一个 FastAPI 服务托管。</w:t>
      </w:r>
    </w:p>
    <w:p>
      <w:pPr>
        <w:pStyle w:val="Heading2"/>
      </w:pPr>
      <w:r>
        <w:t>6.2 存储布局</w:t>
      </w:r>
    </w:p>
    <w:p>
      <w:pPr>
        <w:shd w:fill="F0F5EB"/>
      </w:pPr>
      <w:r>
        <w:rPr>
          <w:rFonts w:ascii="Consolas" w:hAnsi="Consolas"/>
          <w:sz w:val="16"/>
        </w:rPr>
        <w:t>.data/</w:t>
        <w:br/>
        <w:t xml:space="preserve">  teachagent.sqlite3           # 账号、会话、课堂索引、分析、消息、审计</w:t>
        <w:br/>
        <w:t xml:space="preserve">  users/</w:t>
        <w:br/>
        <w:t xml:space="preserve">    &lt;teacher_uuid&gt;/</w:t>
        <w:br/>
        <w:t xml:space="preserve">      &lt;lesson_uuid&gt;/</w:t>
        <w:br/>
        <w:t xml:space="preserve">        source.video          # 原视频，仅视频任务</w:t>
        <w:br/>
        <w:t xml:space="preserve">        audio.wav             # 本地提取音轨</w:t>
        <w:br/>
        <w:t xml:space="preserve">        frames/001.jpg ...    # 最多 60 张参考抽帧</w:t>
        <w:br/>
        <w:t xml:space="preserve">        transcript.txt        # 文本导入的原文</w:t>
        <w:br/>
        <w:t xml:space="preserve">        analysis.json         # 完整分析结构</w:t>
        <w:br/>
        <w:t>models/</w:t>
        <w:br/>
        <w:t xml:space="preserve">  whisper-small/              # 管理员预置的完整本地模型</w:t>
      </w:r>
    </w:p>
    <w:p>
      <w:r>
        <w:t>ASR 转写包含在 analysis.json 的 segments 中。数据库与文件中的分析均落在本地。文件路径使用服务端 UUID，不采用用户上传的路径；帧接口严格限制三位数字文件名。</w:t>
      </w:r>
    </w:p>
    <w:p>
      <w:pPr>
        <w:pStyle w:val="Heading2"/>
      </w:pPr>
      <w:r>
        <w:t>6.3 隔离与安全实现</w:t>
      </w:r>
    </w:p>
    <w:p>
      <w:pPr>
        <w:pStyle w:val="ListBullet"/>
      </w:pPr>
      <w:r>
        <w:t>所有课堂详情、报告、媒体、抽帧、对话、重试、删除接口按登录用户 ID 与课堂 ID 联合查询。</w:t>
      </w:r>
    </w:p>
    <w:p>
      <w:pPr>
        <w:pStyle w:val="ListBullet"/>
      </w:pPr>
      <w:r>
        <w:t>无权限访问其他人的课堂返回 404；教师调用管理员接口返回 403。</w:t>
      </w:r>
    </w:p>
    <w:p>
      <w:pPr>
        <w:pStyle w:val="ListBullet"/>
      </w:pPr>
      <w:r>
        <w:t>PBKDF2-HMAC-SHA256 加盐密码哈希，600,000 次迭代。</w:t>
      </w:r>
    </w:p>
    <w:p>
      <w:pPr>
        <w:pStyle w:val="ListBullet"/>
      </w:pPr>
      <w:r>
        <w:t>随机会话令牌只保存在 HttpOnly、SameSite=Strict Cookie；数据库仅保存其 SHA-256 摘要。</w:t>
      </w:r>
    </w:p>
    <w:p>
      <w:pPr>
        <w:pStyle w:val="ListBullet"/>
      </w:pPr>
      <w:r>
        <w:t>写请求校验会话 CSRF token；显式跨 Origin 的写请求被拒绝。</w:t>
      </w:r>
    </w:p>
    <w:p>
      <w:pPr>
        <w:pStyle w:val="ListBullet"/>
      </w:pPr>
      <w:r>
        <w:t>登录失败次数按账号与客户端计数，15 分钟内达到 10 次后限制；成功登录清除相应计数。</w:t>
      </w:r>
    </w:p>
    <w:p>
      <w:pPr>
        <w:pStyle w:val="ListBullet"/>
      </w:pPr>
      <w:r>
        <w:t>API 设置 no-store，页面设置 CSP、禁止框架嵌入和 MIME 嗅探。</w:t>
      </w:r>
    </w:p>
    <w:p>
      <w:pPr>
        <w:pStyle w:val="ListBullet"/>
      </w:pPr>
      <w:r>
        <w:t>报告 HTML 对用户文本转义。Markdown / JSON 是下载资料，不直接执行其中内容。</w:t>
      </w:r>
    </w:p>
    <w:p>
      <w:pPr>
        <w:pStyle w:val="ListBullet"/>
      </w:pPr>
      <w:r>
        <w:t>Ollama 只允许回环 IP HTTP。兼容服务允许 HTTP / HTTPS，可使用域名、内网 IP 或回环地址；二者均关闭环境代理和重定向。API Key 加密保存、接口不回显，模型错误不透传服务商响应正文。</w:t>
      </w:r>
    </w:p>
    <w:p>
      <w:pPr>
        <w:pStyle w:val="ListBullet"/>
      </w:pPr>
      <w:r>
        <w:t>前端不使用外部字体、CDN、遥测、分析埋点或在线图片。</w:t>
      </w:r>
    </w:p>
    <w:p>
      <w:r>
        <w:t>应用不提供磁盘加密与跨进程强租户沙箱。学校应使用操作系统访问控制、加密磁盘和网络防火墙保护服务器。持有数据库或服务器管理员权限的人能管理本地教学数据。</w:t>
      </w:r>
    </w:p>
    <w:p>
      <w:pPr>
        <w:pStyle w:val="Heading1"/>
      </w:pPr>
      <w:r>
        <w:t>7. 安装与部署</w:t>
      </w:r>
    </w:p>
    <w:p>
      <w:pPr>
        <w:pStyle w:val="Heading2"/>
      </w:pPr>
      <w:r>
        <w:t>7.1 建议环境</w:t>
      </w:r>
    </w:p>
    <w:tbl>
      <w:tblPr>
        <w:tblStyle w:val="LightShading-Accent1"/>
        <w:tblW w:type="auto" w:w="0"/>
        <w:tblLook w:firstColumn="1" w:firstRow="1" w:lastColumn="0" w:lastRow="0" w:noHBand="0" w:noVBand="1" w:val="04A0"/>
      </w:tblPr>
      <w:tblGrid>
        <w:gridCol w:w="4649"/>
        <w:gridCol w:w="4649"/>
      </w:tblGrid>
      <w:tr>
        <w:trPr>
          <w:cantSplit/>
          <w:tblHeader/>
        </w:trPr>
        <w:tc>
          <w:tcPr>
            <w:tcW w:type="dxa" w:w="4649"/>
          </w:tcPr>
          <w:p>
            <w:r>
              <w:rPr>
                <w:sz w:val="16"/>
              </w:rPr>
              <w:t>场景</w:t>
            </w:r>
          </w:p>
        </w:tc>
        <w:tc>
          <w:tcPr>
            <w:tcW w:type="dxa" w:w="4649"/>
          </w:tcPr>
          <w:p>
            <w:r>
              <w:rPr>
                <w:sz w:val="16"/>
              </w:rPr>
              <w:t>建议起点</w:t>
            </w:r>
          </w:p>
        </w:tc>
      </w:tr>
      <w:tr>
        <w:trPr>
          <w:cantSplit/>
        </w:trPr>
        <w:tc>
          <w:tcPr>
            <w:tcW w:type="dxa" w:w="4649"/>
          </w:tcPr>
          <w:p>
            <w:r>
              <w:rPr>
                <w:sz w:val="16"/>
              </w:rPr>
              <w:t>文本分析与演示</w:t>
            </w:r>
          </w:p>
        </w:tc>
        <w:tc>
          <w:tcPr>
            <w:tcW w:type="dxa" w:w="4649"/>
          </w:tcPr>
          <w:p>
            <w:r>
              <w:rPr>
                <w:sz w:val="16"/>
              </w:rPr>
              <w:t>4 核 CPU、8 GB 内存、本地 SSD</w:t>
            </w:r>
          </w:p>
        </w:tc>
      </w:tr>
      <w:tr>
        <w:trPr>
          <w:cantSplit/>
        </w:trPr>
        <w:tc>
          <w:tcPr>
            <w:tcW w:type="dxa" w:w="4649"/>
          </w:tcPr>
          <w:p>
            <w:r>
              <w:rPr>
                <w:sz w:val="16"/>
              </w:rPr>
              <w:t>CPU 中文转写</w:t>
            </w:r>
          </w:p>
        </w:tc>
        <w:tc>
          <w:tcPr>
            <w:tcW w:type="dxa" w:w="4649"/>
          </w:tcPr>
          <w:p>
            <w:r>
              <w:rPr>
                <w:sz w:val="16"/>
              </w:rPr>
              <w:t>8 核 CPU、16 GB 内存，small 模型 int8；速度以实际课堂测试为准</w:t>
            </w:r>
          </w:p>
        </w:tc>
      </w:tr>
      <w:tr>
        <w:trPr>
          <w:cantSplit/>
        </w:trPr>
        <w:tc>
          <w:tcPr>
            <w:tcW w:type="dxa" w:w="4649"/>
          </w:tcPr>
          <w:p>
            <w:r>
              <w:rPr>
                <w:sz w:val="16"/>
              </w:rPr>
              <w:t>GPU 转写</w:t>
            </w:r>
          </w:p>
        </w:tc>
        <w:tc>
          <w:tcPr>
            <w:tcW w:type="dxa" w:w="4649"/>
          </w:tcPr>
          <w:p>
            <w:r>
              <w:rPr>
                <w:sz w:val="16"/>
              </w:rPr>
              <w:t>NVIDIA GPU 与对应 CUDA/cuDNN/ctranslate2 环境，显存按模型规模选择</w:t>
            </w:r>
          </w:p>
        </w:tc>
      </w:tr>
      <w:tr>
        <w:trPr>
          <w:cantSplit/>
        </w:trPr>
        <w:tc>
          <w:tcPr>
            <w:tcW w:type="dxa" w:w="4649"/>
          </w:tcPr>
          <w:p>
            <w:r>
              <w:rPr>
                <w:sz w:val="16"/>
              </w:rPr>
              <w:t>存储</w:t>
            </w:r>
          </w:p>
        </w:tc>
        <w:tc>
          <w:tcPr>
            <w:tcW w:type="dxa" w:w="4649"/>
          </w:tcPr>
          <w:p>
            <w:r>
              <w:rPr>
                <w:sz w:val="16"/>
              </w:rPr>
              <w:t>根据原视频保留期估算；额外保留音轨、抽帧、备份及处理临时空间</w:t>
            </w:r>
          </w:p>
        </w:tc>
      </w:tr>
    </w:tbl>
    <w:p/>
    <w:p>
      <w:r>
        <w:t>以上是部署起点，不是实测吞吐承诺。课堂噪声、录音质量、视频长度和设备型号影响识别质量与耗时。普通服务器默认一条 ASR 任务串行执行，避免同时加载多个模型。</w:t>
      </w:r>
    </w:p>
    <w:p>
      <w:pPr>
        <w:pStyle w:val="Heading2"/>
      </w:pPr>
      <w:r>
        <w:t>7.2 Windows 原生部署</w:t>
      </w:r>
    </w:p>
    <w:p>
      <w:pPr>
        <w:shd w:fill="F0F5EB"/>
      </w:pPr>
      <w:r>
        <w:rPr>
          <w:rFonts w:ascii="Consolas" w:hAnsi="Consolas"/>
          <w:sz w:val="16"/>
        </w:rPr>
        <w:t>python -m venv .venv</w:t>
        <w:br/>
        <w:t>.venv/Scripts/python -m pip install -r requirements.txt</w:t>
        <w:br/>
        <w:t>Copy-Item .env.example .env</w:t>
        <w:br/>
        <w:t>cd frontend</w:t>
        <w:br/>
        <w:t>npm ci</w:t>
        <w:br/>
        <w:t>npm run build</w:t>
        <w:br/>
        <w:t>cd ..</w:t>
        <w:br/>
        <w:t>.venv/Scripts/python -m backend.cli create-admin --username admin --name 教研管理员</w:t>
        <w:br/>
        <w:t>./scripts/start.ps1</w:t>
      </w:r>
    </w:p>
    <w:p>
      <w:r>
        <w:t>在 .env 填写 FFmpeg、ffprobe 和模型的绝对路径，含空格时使用引号。首个管理员密码自动随机生成，请记录并妥善交接。默认访问 http://127.0.0.1:8000。</w:t>
      </w:r>
    </w:p>
    <w:p>
      <w:r>
        <w:t>可以在调用账号命令前设置 TEACHAGENT_ADMIN_PASSWORD 指定密码，但不要将真实密码写入代码、命令示例或版本库；用完后清除此环境变量。</w:t>
      </w:r>
    </w:p>
    <w:p>
      <w:pPr>
        <w:pStyle w:val="Heading2"/>
      </w:pPr>
      <w:r>
        <w:t>7.3 Linux 原生部署</w:t>
      </w:r>
    </w:p>
    <w:p>
      <w:pPr>
        <w:shd w:fill="F0F5EB"/>
      </w:pPr>
      <w:r>
        <w:rPr>
          <w:rFonts w:ascii="Consolas" w:hAnsi="Consolas"/>
          <w:sz w:val="16"/>
        </w:rPr>
        <w:t>python3.12 -m venv .venv</w:t>
        <w:br/>
        <w:t>.venv/bin/python -m pip install -r requirements.txt</w:t>
        <w:br/>
        <w:t>cp .env.example .env</w:t>
        <w:br/>
        <w:t>cd frontend</w:t>
        <w:br/>
        <w:t>npm ci</w:t>
        <w:br/>
        <w:t>npm run build</w:t>
        <w:br/>
        <w:t>cd ..</w:t>
        <w:br/>
        <w:t>.venv/bin/python -m backend.cli create-admin</w:t>
        <w:br/>
        <w:t>sh scripts/start.sh</w:t>
      </w:r>
    </w:p>
    <w:p>
      <w:r>
        <w:t>由系统包管理器预装 FFmpeg。生产可交给 systemd 管理，工作目录必须是项目根目录，运行身份应为独立普通用户，数据目录只授予该用户和学校管理员访问。</w:t>
      </w:r>
    </w:p>
    <w:p>
      <w:pPr>
        <w:pStyle w:val="Heading2"/>
      </w:pPr>
      <w:r>
        <w:t>7.4 Docker 部署</w:t>
      </w:r>
    </w:p>
    <w:p>
      <w:pPr>
        <w:shd w:fill="F0F5EB"/>
      </w:pPr>
      <w:r>
        <w:rPr>
          <w:rFonts w:ascii="Consolas" w:hAnsi="Consolas"/>
          <w:sz w:val="16"/>
        </w:rPr>
        <w:t>docker compose up -d --build</w:t>
        <w:br/>
        <w:t>docker compose exec teachagent python -m backend.cli create-admin</w:t>
      </w:r>
    </w:p>
    <w:p>
      <w:r>
        <w:t>镜像构建需要联网下载基础镜像、系统包和开发依赖；可以在联网准备机构建后 docker save，搬入内网后 docker load。Compose 数据使用持久卷，模型目录以只读挂载。镜像进程以 UID 10001 普通用户运行，移除 Linux capabilities，并禁止提权。</w:t>
      </w:r>
    </w:p>
    <w:p>
      <w:r>
        <w:t>默认 Docker 网络下不能通过容器的 127.0.0.1 访问宿主 Ollama。Linux 如需共享宿主本机 Ollama，可将服务改用 network_mode: host，移除 ports，并将启动命令改成只监听 127.0.0.1:8000，从同机 Nginx 转发。OLLAMA_URL 仍只接受本机回环 IP；需要在线服务时使用“模型服务设置”的 OpenAI 兼容方式。Windows 建议原生部署应用与 Ollama，或使用规则建议模式。</w:t>
      </w:r>
    </w:p>
    <w:p>
      <w:r>
        <w:t>流式服务按当前单进程 Uvicorn 部署运行。启动恢复逻辑会回收未完成轮次，不能直接改为多个 worker 或多个应用副本；需要多进程时应先实现跨进程任务租约和恢复协调。反向代理需关闭响应缓冲、缓存和压缩；仓库 deploy/nginx.conf 已设置 proxy_buffering off、proxy_cache off、gzip off，接口另返回 X-Accel-Buffering: no，等待首字时每 10 秒发送保活注释。</w:t>
      </w:r>
    </w:p>
    <w:p>
      <w:pPr>
        <w:pStyle w:val="Heading2"/>
      </w:pPr>
      <w:r>
        <w:t>7.5 内网访问与断网运行</w:t>
      </w:r>
    </w:p>
    <w:p>
      <w:r>
        <w:t>学校内部 DNS 配置例如 teachagent.school.lan，使用学校证书与 Nginx 示例 deploy/nginx.conf。代理必须保留原 Host，配置上传大小和长连接超时。HTTPS 环境将 COOKIE_SECURE=1。</w:t>
      </w:r>
    </w:p>
    <w:p>
      <w:r>
        <w:t>依赖安装、模型预下载、GitHub 源码发布属于开发或部署准备阶段，不发送课堂材料。如采用纯本地模式，正式运行时关闭学校服务器外网出口，模型与资料不需要外网。若学校选择兼容在线模型，应只允许后端访问批准的服务地址，追问会发送明确列出的文本上下文；浏览器仍只连接本地应用源。不要在运行时开放模型自动下载。更新软件时采用离线包审查与搬运流程。</w:t>
      </w:r>
    </w:p>
    <w:p>
      <w:pPr>
        <w:pStyle w:val="Heading2"/>
      </w:pPr>
      <w:r>
        <w:t>7.6 环境变量</w:t>
      </w:r>
    </w:p>
    <w:tbl>
      <w:tblPr>
        <w:tblStyle w:val="LightShading-Accent1"/>
        <w:tblW w:type="auto" w:w="0"/>
        <w:tblLook w:firstColumn="1" w:firstRow="1" w:lastColumn="0" w:lastRow="0" w:noHBand="0" w:noVBand="1" w:val="04A0"/>
      </w:tblPr>
      <w:tblGrid>
        <w:gridCol w:w="3099"/>
        <w:gridCol w:w="3099"/>
        <w:gridCol w:w="3099"/>
      </w:tblGrid>
      <w:tr>
        <w:trPr>
          <w:cantSplit/>
          <w:tblHeader/>
        </w:trPr>
        <w:tc>
          <w:tcPr>
            <w:tcW w:type="dxa" w:w="3099"/>
          </w:tcPr>
          <w:p>
            <w:r>
              <w:rPr>
                <w:sz w:val="16"/>
              </w:rPr>
              <w:t>名称</w:t>
            </w:r>
          </w:p>
        </w:tc>
        <w:tc>
          <w:tcPr>
            <w:tcW w:type="dxa" w:w="3099"/>
          </w:tcPr>
          <w:p>
            <w:r>
              <w:rPr>
                <w:sz w:val="16"/>
              </w:rPr>
              <w:t>默认</w:t>
            </w:r>
          </w:p>
        </w:tc>
        <w:tc>
          <w:tcPr>
            <w:tcW w:type="dxa" w:w="3099"/>
          </w:tcPr>
          <w:p>
            <w:r>
              <w:rPr>
                <w:sz w:val="16"/>
              </w:rPr>
              <w:t>说明</w:t>
            </w:r>
          </w:p>
        </w:tc>
      </w:tr>
      <w:tr>
        <w:trPr>
          <w:cantSplit/>
        </w:trPr>
        <w:tc>
          <w:tcPr>
            <w:tcW w:type="dxa" w:w="3099"/>
          </w:tcPr>
          <w:p>
            <w:r>
              <w:rPr>
                <w:sz w:val="16"/>
              </w:rPr>
              <w:t>TEACHAGENT_DATA</w:t>
            </w:r>
          </w:p>
        </w:tc>
        <w:tc>
          <w:tcPr>
            <w:tcW w:type="dxa" w:w="3099"/>
          </w:tcPr>
          <w:p>
            <w:r>
              <w:rPr>
                <w:sz w:val="16"/>
              </w:rPr>
              <w:t>项目根目录/.data</w:t>
            </w:r>
          </w:p>
        </w:tc>
        <w:tc>
          <w:tcPr>
            <w:tcW w:type="dxa" w:w="3099"/>
          </w:tcPr>
          <w:p>
            <w:r>
              <w:rPr>
                <w:sz w:val="16"/>
              </w:rPr>
              <w:t>数据库与课堂文件根目录</w:t>
            </w:r>
          </w:p>
        </w:tc>
      </w:tr>
      <w:tr>
        <w:trPr>
          <w:cantSplit/>
        </w:trPr>
        <w:tc>
          <w:tcPr>
            <w:tcW w:type="dxa" w:w="3099"/>
          </w:tcPr>
          <w:p>
            <w:r>
              <w:rPr>
                <w:sz w:val="16"/>
              </w:rPr>
              <w:t>ASR_MODEL_PATH</w:t>
            </w:r>
          </w:p>
        </w:tc>
        <w:tc>
          <w:tcPr>
            <w:tcW w:type="dxa" w:w="3099"/>
          </w:tcPr>
          <w:p>
            <w:r>
              <w:rPr>
                <w:sz w:val="16"/>
              </w:rPr>
              <w:t>models/whisper-small</w:t>
            </w:r>
          </w:p>
        </w:tc>
        <w:tc>
          <w:tcPr>
            <w:tcW w:type="dxa" w:w="3099"/>
          </w:tcPr>
          <w:p>
            <w:r>
              <w:rPr>
                <w:sz w:val="16"/>
              </w:rPr>
              <w:t>完整本地模型目录</w:t>
            </w:r>
          </w:p>
        </w:tc>
      </w:tr>
      <w:tr>
        <w:trPr>
          <w:cantSplit/>
        </w:trPr>
        <w:tc>
          <w:tcPr>
            <w:tcW w:type="dxa" w:w="3099"/>
          </w:tcPr>
          <w:p>
            <w:r>
              <w:rPr>
                <w:sz w:val="16"/>
              </w:rPr>
              <w:t>ASR_DEVICE</w:t>
            </w:r>
          </w:p>
        </w:tc>
        <w:tc>
          <w:tcPr>
            <w:tcW w:type="dxa" w:w="3099"/>
          </w:tcPr>
          <w:p>
            <w:r>
              <w:rPr>
                <w:sz w:val="16"/>
              </w:rPr>
              <w:t>cpu</w:t>
            </w:r>
          </w:p>
        </w:tc>
        <w:tc>
          <w:tcPr>
            <w:tcW w:type="dxa" w:w="3099"/>
          </w:tcPr>
          <w:p>
            <w:r>
              <w:rPr>
                <w:sz w:val="16"/>
              </w:rPr>
              <w:t>cpu 或在完整 CUDA 环境中的 cuda</w:t>
            </w:r>
          </w:p>
        </w:tc>
      </w:tr>
      <w:tr>
        <w:trPr>
          <w:cantSplit/>
        </w:trPr>
        <w:tc>
          <w:tcPr>
            <w:tcW w:type="dxa" w:w="3099"/>
          </w:tcPr>
          <w:p>
            <w:r>
              <w:rPr>
                <w:sz w:val="16"/>
              </w:rPr>
              <w:t>ASR_COMPUTE</w:t>
            </w:r>
          </w:p>
        </w:tc>
        <w:tc>
          <w:tcPr>
            <w:tcW w:type="dxa" w:w="3099"/>
          </w:tcPr>
          <w:p>
            <w:r>
              <w:rPr>
                <w:sz w:val="16"/>
              </w:rPr>
              <w:t>int8</w:t>
            </w:r>
          </w:p>
        </w:tc>
        <w:tc>
          <w:tcPr>
            <w:tcW w:type="dxa" w:w="3099"/>
          </w:tcPr>
          <w:p>
            <w:r>
              <w:rPr>
                <w:sz w:val="16"/>
              </w:rPr>
              <w:t>CPU 推荐 int8，GPU 可按环境选 float16</w:t>
            </w:r>
          </w:p>
        </w:tc>
      </w:tr>
      <w:tr>
        <w:trPr>
          <w:cantSplit/>
        </w:trPr>
        <w:tc>
          <w:tcPr>
            <w:tcW w:type="dxa" w:w="3099"/>
          </w:tcPr>
          <w:p>
            <w:r>
              <w:rPr>
                <w:sz w:val="16"/>
              </w:rPr>
              <w:t>FFMPEG_PATH</w:t>
            </w:r>
          </w:p>
        </w:tc>
        <w:tc>
          <w:tcPr>
            <w:tcW w:type="dxa" w:w="3099"/>
          </w:tcPr>
          <w:p>
            <w:r>
              <w:rPr>
                <w:sz w:val="16"/>
              </w:rPr>
              <w:t>ffmpeg</w:t>
            </w:r>
          </w:p>
        </w:tc>
        <w:tc>
          <w:tcPr>
            <w:tcW w:type="dxa" w:w="3099"/>
          </w:tcPr>
          <w:p>
            <w:r>
              <w:rPr>
                <w:sz w:val="16"/>
              </w:rPr>
              <w:t>可执行文件名或绝对路径</w:t>
            </w:r>
          </w:p>
        </w:tc>
      </w:tr>
      <w:tr>
        <w:trPr>
          <w:cantSplit/>
        </w:trPr>
        <w:tc>
          <w:tcPr>
            <w:tcW w:type="dxa" w:w="3099"/>
          </w:tcPr>
          <w:p>
            <w:r>
              <w:rPr>
                <w:sz w:val="16"/>
              </w:rPr>
              <w:t>FFPROBE_PATH</w:t>
            </w:r>
          </w:p>
        </w:tc>
        <w:tc>
          <w:tcPr>
            <w:tcW w:type="dxa" w:w="3099"/>
          </w:tcPr>
          <w:p>
            <w:r>
              <w:rPr>
                <w:sz w:val="16"/>
              </w:rPr>
              <w:t>ffprobe</w:t>
            </w:r>
          </w:p>
        </w:tc>
        <w:tc>
          <w:tcPr>
            <w:tcW w:type="dxa" w:w="3099"/>
          </w:tcPr>
          <w:p>
            <w:r>
              <w:rPr>
                <w:sz w:val="16"/>
              </w:rPr>
              <w:t>可执行文件名或绝对路径</w:t>
            </w:r>
          </w:p>
        </w:tc>
      </w:tr>
      <w:tr>
        <w:trPr>
          <w:cantSplit/>
        </w:trPr>
        <w:tc>
          <w:tcPr>
            <w:tcW w:type="dxa" w:w="3099"/>
          </w:tcPr>
          <w:p>
            <w:r>
              <w:rPr>
                <w:sz w:val="16"/>
              </w:rPr>
              <w:t>MAX_UPLOAD_MB</w:t>
            </w:r>
          </w:p>
        </w:tc>
        <w:tc>
          <w:tcPr>
            <w:tcW w:type="dxa" w:w="3099"/>
          </w:tcPr>
          <w:p>
            <w:r>
              <w:rPr>
                <w:sz w:val="16"/>
              </w:rPr>
              <w:t>2048</w:t>
            </w:r>
          </w:p>
        </w:tc>
        <w:tc>
          <w:tcPr>
            <w:tcW w:type="dxa" w:w="3099"/>
          </w:tcPr>
          <w:p>
            <w:r>
              <w:rPr>
                <w:sz w:val="16"/>
              </w:rPr>
              <w:t>视频上传限额，反向代理需同步设置</w:t>
            </w:r>
          </w:p>
        </w:tc>
      </w:tr>
      <w:tr>
        <w:trPr>
          <w:cantSplit/>
        </w:trPr>
        <w:tc>
          <w:tcPr>
            <w:tcW w:type="dxa" w:w="3099"/>
          </w:tcPr>
          <w:p>
            <w:r>
              <w:rPr>
                <w:sz w:val="16"/>
              </w:rPr>
              <w:t>OLLAMA_URL</w:t>
            </w:r>
          </w:p>
        </w:tc>
        <w:tc>
          <w:tcPr>
            <w:tcW w:type="dxa" w:w="3099"/>
          </w:tcPr>
          <w:p>
            <w:r>
              <w:rPr>
                <w:sz w:val="16"/>
              </w:rPr>
              <w:t>http://127.0.0.1:11434</w:t>
            </w:r>
          </w:p>
        </w:tc>
        <w:tc>
          <w:tcPr>
            <w:tcW w:type="dxa" w:w="3099"/>
          </w:tcPr>
          <w:p>
            <w:r>
              <w:rPr>
                <w:sz w:val="16"/>
              </w:rPr>
              <w:t>只允许回环 IP HTTP</w:t>
            </w:r>
          </w:p>
        </w:tc>
      </w:tr>
      <w:tr>
        <w:trPr>
          <w:cantSplit/>
        </w:trPr>
        <w:tc>
          <w:tcPr>
            <w:tcW w:type="dxa" w:w="3099"/>
          </w:tcPr>
          <w:p>
            <w:r>
              <w:rPr>
                <w:sz w:val="16"/>
              </w:rPr>
              <w:t>OLLAMA_MODEL</w:t>
            </w:r>
          </w:p>
        </w:tc>
        <w:tc>
          <w:tcPr>
            <w:tcW w:type="dxa" w:w="3099"/>
          </w:tcPr>
          <w:p>
            <w:r>
              <w:rPr>
                <w:sz w:val="16"/>
              </w:rPr>
              <w:t>qwen2.5:7b</w:t>
            </w:r>
          </w:p>
        </w:tc>
        <w:tc>
          <w:tcPr>
            <w:tcW w:type="dxa" w:w="3099"/>
          </w:tcPr>
          <w:p>
            <w:r>
              <w:rPr>
                <w:sz w:val="16"/>
              </w:rPr>
              <w:t>本机预先安装的模型名</w:t>
            </w:r>
          </w:p>
        </w:tc>
      </w:tr>
      <w:tr>
        <w:trPr>
          <w:cantSplit/>
        </w:trPr>
        <w:tc>
          <w:tcPr>
            <w:tcW w:type="dxa" w:w="3099"/>
          </w:tcPr>
          <w:p>
            <w:r>
              <w:rPr>
                <w:sz w:val="16"/>
              </w:rPr>
              <w:t>COOKIE_SECURE</w:t>
            </w:r>
          </w:p>
        </w:tc>
        <w:tc>
          <w:tcPr>
            <w:tcW w:type="dxa" w:w="3099"/>
          </w:tcPr>
          <w:p>
            <w:r>
              <w:rPr>
                <w:sz w:val="16"/>
              </w:rPr>
              <w:t>0</w:t>
            </w:r>
          </w:p>
        </w:tc>
        <w:tc>
          <w:tcPr>
            <w:tcW w:type="dxa" w:w="3099"/>
          </w:tcPr>
          <w:p>
            <w:r>
              <w:rPr>
                <w:sz w:val="16"/>
              </w:rPr>
              <w:t>HTTPS 环境设 1</w:t>
            </w:r>
          </w:p>
        </w:tc>
      </w:tr>
    </w:tbl>
    <w:p/>
    <w:p>
      <w:r>
        <w:t>.env 在启动时加载，环境变量优先；修改后需要重启。必须使用单进程、单实例。增加 --workers 会使各进程队列与重启恢复逻辑冲突。</w:t>
      </w:r>
    </w:p>
    <w:p>
      <w:pPr>
        <w:pStyle w:val="Heading1"/>
      </w:pPr>
      <w:r>
        <w:t>8. 管理、备份与恢复</w:t>
      </w:r>
    </w:p>
    <w:p>
      <w:pPr>
        <w:pStyle w:val="Heading2"/>
      </w:pPr>
      <w:r>
        <w:t>8.1 教师账号管理</w:t>
      </w:r>
    </w:p>
    <w:p>
      <w:r>
        <w:t>管理员可在 WebUI 创建教师账号。账号为 3–64 位字母、数字、下划线、点或短横线；密码至少 10 位。UI 默认创建 teacher 角色，管理员 API 可按校内管理流程创建 admin 角色。</w:t>
      </w:r>
    </w:p>
    <w:p>
      <w:r>
        <w:t>忘记密码由具有服务器权限的信息中心执行：</w:t>
      </w:r>
    </w:p>
    <w:p>
      <w:pPr>
        <w:shd w:fill="F0F5EB"/>
      </w:pPr>
      <w:r>
        <w:rPr>
          <w:rFonts w:ascii="Consolas" w:hAnsi="Consolas"/>
          <w:sz w:val="16"/>
        </w:rPr>
        <w:t>python -m backend.cli reset-password --username teacher01</w:t>
      </w:r>
    </w:p>
    <w:p>
      <w:r>
        <w:t>该命令生成新随机密码，并撤销该账号所有会话。没有公开自助注册、短信密码找回或外部身份服务。</w:t>
      </w:r>
    </w:p>
    <w:p>
      <w:pPr>
        <w:pStyle w:val="Heading2"/>
      </w:pPr>
      <w:r>
        <w:t>8.2 按账号备份</w:t>
      </w:r>
    </w:p>
    <w:p>
      <w:r>
        <w:t>“学校管理 → 教师账号 → 导出备份”下载 ZIP，包含：</w:t>
      </w:r>
    </w:p>
    <w:p>
      <w:pPr>
        <w:pStyle w:val="ListBullet"/>
      </w:pPr>
      <w:r>
        <w:t>manifest.json：导出版本、时间、账号公开元信息、该账号课堂记录与对话。</w:t>
      </w:r>
    </w:p>
    <w:p>
      <w:pPr>
        <w:pStyle w:val="ListBullet"/>
      </w:pPr>
      <w:r>
        <w:t>files/&lt;lesson_uuid&gt;/...：该账号全部原视频、音轨、抽帧、原始导入文本、分析 JSON。</w:t>
      </w:r>
    </w:p>
    <w:p>
      <w:pPr>
        <w:pStyle w:val="ListBullet"/>
      </w:pPr>
      <w:r>
        <w:t>不包含密码哈希、会话令牌、其他账号的数据。</w:t>
      </w:r>
    </w:p>
    <w:p>
      <w:r>
        <w:t>存在排队、上传或处理中的任务时，返回 409 并提示完成后备份。备份使用磁盘临时文件，避免把大视频全部放入内存。备份过程请暂停该账号上传与删除操作；一期不提供跨文件与数据库的在线原子快照。</w:t>
      </w:r>
    </w:p>
    <w:p>
      <w:r>
        <w:t>按账号 ZIP 故意不包含模型服务设置、加密后的 API Key 或解密密钥，避免归档教研资料时扩大凭据暴露范围。</w:t>
      </w:r>
    </w:p>
    <w:p>
      <w:pPr>
        <w:pStyle w:val="Heading2"/>
      </w:pPr>
      <w:r>
        <w:t>8.3 整机备份与恢复</w:t>
      </w:r>
    </w:p>
    <w:p>
      <w:r>
        <w:t>按账号 ZIP 用于数据导出和教研资产归档，当前不提供 WebUI 一键回灌。整机灾备使用停止服务后的完整数据目录备份：</w:t>
      </w:r>
    </w:p>
    <w:p>
      <w:pPr>
        <w:pStyle w:val="ListNumber"/>
      </w:pPr>
      <w:r>
        <w:t>通知教师暂停操作，等待任务结束，停止应用。</w:t>
      </w:r>
    </w:p>
    <w:p>
      <w:pPr>
        <w:pStyle w:val="ListNumber"/>
      </w:pPr>
      <w:r>
        <w:t>备份完整 TEACHAGENT_DATA，包括 SQLite、可能存在的 -wal / -shm、users/ 与 model-settings.key。缺失或更换解密密钥将无法解密已保存的 API Key；需恢复原文件，或在界面清除旧密钥后重新填写。</w:t>
      </w:r>
    </w:p>
    <w:p>
      <w:pPr>
        <w:pStyle w:val="ListNumber"/>
      </w:pPr>
      <w:r>
        <w:t>另行保存 .env、版本号、模型名称与版本、部署配置；密码等配置放入学校受控备份区域。</w:t>
      </w:r>
    </w:p>
    <w:p>
      <w:pPr>
        <w:pStyle w:val="ListNumber"/>
      </w:pPr>
      <w:r>
        <w:t>恢复时部署相同版本，停止服务，将完整数据目录恢复到指定位置并校验属主权限。</w:t>
      </w:r>
    </w:p>
    <w:p>
      <w:pPr>
        <w:pStyle w:val="ListNumber"/>
      </w:pPr>
      <w:r>
        <w:t>确认模型目录、FFmpeg 路径与磁盘空间，重启后抽查两个教师的隔离性、视频、报告与对话。</w:t>
      </w:r>
    </w:p>
    <w:p>
      <w:pPr>
        <w:pStyle w:val="ListNumber"/>
      </w:pPr>
      <w:r>
        <w:t>可在 SQLite 中执行 DELETE FROM sessions; 撤销恢复数据中的旧会话，然后要求重新登录。</w:t>
      </w:r>
    </w:p>
    <w:p>
      <w:r>
        <w:t>Docker 数据卷应使用一致的停止服务后卷备份流程。不要仅复制运行中的 SQLite 主文件并认为备份完整。恢复前保留当前数据快照，避免覆盖唯一副本。</w:t>
      </w:r>
    </w:p>
    <w:p>
      <w:pPr>
        <w:pStyle w:val="Heading2"/>
      </w:pPr>
      <w:r>
        <w:t>8.4 删除与保留</w:t>
      </w:r>
    </w:p>
    <w:p>
      <w:r>
        <w:t>教师删除课堂需要二次确认，删除数据库记录、消息及课堂文件。处理中的任务拒绝删除。删除不是回收站，无法在界面撤销。没有自动保留期清理，学校可以先备份再按数据制度清理。</w:t>
      </w:r>
    </w:p>
    <w:p>
      <w:pPr>
        <w:pStyle w:val="Heading1"/>
      </w:pPr>
      <w:r>
        <w:t>9. API 概览</w:t>
      </w:r>
    </w:p>
    <w:p>
      <w:r>
        <w:t>完整 OpenAPI 位于本地 /docs 与 /openapi.json。业务 API 前缀 /api。</w:t>
      </w:r>
    </w:p>
    <w:tbl>
      <w:tblPr>
        <w:tblStyle w:val="LightShading-Accent1"/>
        <w:tblW w:type="auto" w:w="0"/>
        <w:tblLook w:firstColumn="1" w:firstRow="1" w:lastColumn="0" w:lastRow="0" w:noHBand="0" w:noVBand="1" w:val="04A0"/>
      </w:tblPr>
      <w:tblGrid>
        <w:gridCol w:w="3099"/>
        <w:gridCol w:w="3099"/>
        <w:gridCol w:w="3099"/>
      </w:tblGrid>
      <w:tr>
        <w:trPr>
          <w:cantSplit/>
          <w:tblHeader/>
        </w:trPr>
        <w:tc>
          <w:tcPr>
            <w:tcW w:type="dxa" w:w="3099"/>
          </w:tcPr>
          <w:p>
            <w:r>
              <w:rPr>
                <w:sz w:val="16"/>
              </w:rPr>
              <w:t>方法</w:t>
            </w:r>
          </w:p>
        </w:tc>
        <w:tc>
          <w:tcPr>
            <w:tcW w:type="dxa" w:w="3099"/>
          </w:tcPr>
          <w:p>
            <w:r>
              <w:rPr>
                <w:sz w:val="16"/>
              </w:rPr>
              <w:t>路径</w:t>
            </w:r>
          </w:p>
        </w:tc>
        <w:tc>
          <w:tcPr>
            <w:tcW w:type="dxa" w:w="3099"/>
          </w:tcPr>
          <w:p>
            <w:r>
              <w:rPr>
                <w:sz w:val="16"/>
              </w:rPr>
              <w:t>用途</w:t>
            </w:r>
          </w:p>
        </w:tc>
      </w:tr>
      <w:tr>
        <w:trPr>
          <w:cantSplit/>
        </w:trPr>
        <w:tc>
          <w:tcPr>
            <w:tcW w:type="dxa" w:w="3099"/>
          </w:tcPr>
          <w:p>
            <w:r>
              <w:rPr>
                <w:sz w:val="16"/>
              </w:rPr>
              <w:t>GET</w:t>
            </w:r>
          </w:p>
        </w:tc>
        <w:tc>
          <w:tcPr>
            <w:tcW w:type="dxa" w:w="3099"/>
          </w:tcPr>
          <w:p>
            <w:r>
              <w:rPr>
                <w:sz w:val="16"/>
              </w:rPr>
              <w:t>/health</w:t>
            </w:r>
          </w:p>
        </w:tc>
        <w:tc>
          <w:tcPr>
            <w:tcW w:type="dxa" w:w="3099"/>
          </w:tcPr>
          <w:p>
            <w:r>
              <w:rPr>
                <w:sz w:val="16"/>
              </w:rPr>
              <w:t>存活、版本与本地处理标识</w:t>
            </w:r>
          </w:p>
        </w:tc>
      </w:tr>
      <w:tr>
        <w:trPr>
          <w:cantSplit/>
        </w:trPr>
        <w:tc>
          <w:tcPr>
            <w:tcW w:type="dxa" w:w="3099"/>
          </w:tcPr>
          <w:p>
            <w:r>
              <w:rPr>
                <w:sz w:val="16"/>
              </w:rPr>
              <w:t>POST</w:t>
            </w:r>
          </w:p>
        </w:tc>
        <w:tc>
          <w:tcPr>
            <w:tcW w:type="dxa" w:w="3099"/>
          </w:tcPr>
          <w:p>
            <w:r>
              <w:rPr>
                <w:sz w:val="16"/>
              </w:rPr>
              <w:t>/auth/login</w:t>
            </w:r>
          </w:p>
        </w:tc>
        <w:tc>
          <w:tcPr>
            <w:tcW w:type="dxa" w:w="3099"/>
          </w:tcPr>
          <w:p>
            <w:r>
              <w:rPr>
                <w:sz w:val="16"/>
              </w:rPr>
              <w:t>登录并返回用户与 CSRF token</w:t>
            </w:r>
          </w:p>
        </w:tc>
      </w:tr>
      <w:tr>
        <w:trPr>
          <w:cantSplit/>
        </w:trPr>
        <w:tc>
          <w:tcPr>
            <w:tcW w:type="dxa" w:w="3099"/>
          </w:tcPr>
          <w:p>
            <w:r>
              <w:rPr>
                <w:sz w:val="16"/>
              </w:rPr>
              <w:t>GET</w:t>
            </w:r>
          </w:p>
        </w:tc>
        <w:tc>
          <w:tcPr>
            <w:tcW w:type="dxa" w:w="3099"/>
          </w:tcPr>
          <w:p>
            <w:r>
              <w:rPr>
                <w:sz w:val="16"/>
              </w:rPr>
              <w:t>/auth/me</w:t>
            </w:r>
          </w:p>
        </w:tc>
        <w:tc>
          <w:tcPr>
            <w:tcW w:type="dxa" w:w="3099"/>
          </w:tcPr>
          <w:p>
            <w:r>
              <w:rPr>
                <w:sz w:val="16"/>
              </w:rPr>
              <w:t>当前用户与 CSRF token</w:t>
            </w:r>
          </w:p>
        </w:tc>
      </w:tr>
      <w:tr>
        <w:trPr>
          <w:cantSplit/>
        </w:trPr>
        <w:tc>
          <w:tcPr>
            <w:tcW w:type="dxa" w:w="3099"/>
          </w:tcPr>
          <w:p>
            <w:r>
              <w:rPr>
                <w:sz w:val="16"/>
              </w:rPr>
              <w:t>POST</w:t>
            </w:r>
          </w:p>
        </w:tc>
        <w:tc>
          <w:tcPr>
            <w:tcW w:type="dxa" w:w="3099"/>
          </w:tcPr>
          <w:p>
            <w:r>
              <w:rPr>
                <w:sz w:val="16"/>
              </w:rPr>
              <w:t>/auth/logout</w:t>
            </w:r>
          </w:p>
        </w:tc>
        <w:tc>
          <w:tcPr>
            <w:tcW w:type="dxa" w:w="3099"/>
          </w:tcPr>
          <w:p>
            <w:r>
              <w:rPr>
                <w:sz w:val="16"/>
              </w:rPr>
              <w:t>注销当前会话</w:t>
            </w:r>
          </w:p>
        </w:tc>
      </w:tr>
      <w:tr>
        <w:trPr>
          <w:cantSplit/>
        </w:trPr>
        <w:tc>
          <w:tcPr>
            <w:tcW w:type="dxa" w:w="3099"/>
          </w:tcPr>
          <w:p>
            <w:r>
              <w:rPr>
                <w:sz w:val="16"/>
              </w:rPr>
              <w:t>POST</w:t>
            </w:r>
          </w:p>
        </w:tc>
        <w:tc>
          <w:tcPr>
            <w:tcW w:type="dxa" w:w="3099"/>
          </w:tcPr>
          <w:p>
            <w:r>
              <w:rPr>
                <w:sz w:val="16"/>
              </w:rPr>
              <w:t>/auth/password</w:t>
            </w:r>
          </w:p>
        </w:tc>
        <w:tc>
          <w:tcPr>
            <w:tcW w:type="dxa" w:w="3099"/>
          </w:tcPr>
          <w:p>
            <w:r>
              <w:rPr>
                <w:sz w:val="16"/>
              </w:rPr>
              <w:t>修改密码并撤销所有会话</w:t>
            </w:r>
          </w:p>
        </w:tc>
      </w:tr>
      <w:tr>
        <w:trPr>
          <w:cantSplit/>
        </w:trPr>
        <w:tc>
          <w:tcPr>
            <w:tcW w:type="dxa" w:w="3099"/>
          </w:tcPr>
          <w:p>
            <w:r>
              <w:rPr>
                <w:sz w:val="16"/>
              </w:rPr>
              <w:t>GET</w:t>
            </w:r>
          </w:p>
        </w:tc>
        <w:tc>
          <w:tcPr>
            <w:tcW w:type="dxa" w:w="3099"/>
          </w:tcPr>
          <w:p>
            <w:r>
              <w:rPr>
                <w:sz w:val="16"/>
              </w:rPr>
              <w:t>/system</w:t>
            </w:r>
          </w:p>
        </w:tc>
        <w:tc>
          <w:tcPr>
            <w:tcW w:type="dxa" w:w="3099"/>
          </w:tcPr>
          <w:p>
            <w:r>
              <w:rPr>
                <w:sz w:val="16"/>
              </w:rPr>
              <w:t>模型文件、FFmpeg、磁盘与配置状态</w:t>
            </w:r>
          </w:p>
        </w:tc>
      </w:tr>
      <w:tr>
        <w:trPr>
          <w:cantSplit/>
        </w:trPr>
        <w:tc>
          <w:tcPr>
            <w:tcW w:type="dxa" w:w="3099"/>
          </w:tcPr>
          <w:p>
            <w:r>
              <w:rPr>
                <w:sz w:val="16"/>
              </w:rPr>
              <w:t>GET</w:t>
            </w:r>
          </w:p>
        </w:tc>
        <w:tc>
          <w:tcPr>
            <w:tcW w:type="dxa" w:w="3099"/>
          </w:tcPr>
          <w:p>
            <w:r>
              <w:rPr>
                <w:sz w:val="16"/>
              </w:rPr>
              <w:t>/lessons</w:t>
            </w:r>
          </w:p>
        </w:tc>
        <w:tc>
          <w:tcPr>
            <w:tcW w:type="dxa" w:w="3099"/>
          </w:tcPr>
          <w:p>
            <w:r>
              <w:rPr>
                <w:sz w:val="16"/>
              </w:rPr>
              <w:t>仅自己的课堂列表</w:t>
            </w:r>
          </w:p>
        </w:tc>
      </w:tr>
      <w:tr>
        <w:trPr>
          <w:cantSplit/>
        </w:trPr>
        <w:tc>
          <w:tcPr>
            <w:tcW w:type="dxa" w:w="3099"/>
          </w:tcPr>
          <w:p>
            <w:r>
              <w:rPr>
                <w:sz w:val="16"/>
              </w:rPr>
              <w:t>POST</w:t>
            </w:r>
          </w:p>
        </w:tc>
        <w:tc>
          <w:tcPr>
            <w:tcW w:type="dxa" w:w="3099"/>
          </w:tcPr>
          <w:p>
            <w:r>
              <w:rPr>
                <w:sz w:val="16"/>
              </w:rPr>
              <w:t>/lessons/upload</w:t>
            </w:r>
          </w:p>
        </w:tc>
        <w:tc>
          <w:tcPr>
            <w:tcW w:type="dxa" w:w="3099"/>
          </w:tcPr>
          <w:p>
            <w:r>
              <w:rPr>
                <w:sz w:val="16"/>
              </w:rPr>
              <w:t>multipart 视频上传</w:t>
            </w:r>
          </w:p>
        </w:tc>
      </w:tr>
      <w:tr>
        <w:trPr>
          <w:cantSplit/>
        </w:trPr>
        <w:tc>
          <w:tcPr>
            <w:tcW w:type="dxa" w:w="3099"/>
          </w:tcPr>
          <w:p>
            <w:r>
              <w:rPr>
                <w:sz w:val="16"/>
              </w:rPr>
              <w:t>POST</w:t>
            </w:r>
          </w:p>
        </w:tc>
        <w:tc>
          <w:tcPr>
            <w:tcW w:type="dxa" w:w="3099"/>
          </w:tcPr>
          <w:p>
            <w:r>
              <w:rPr>
                <w:sz w:val="16"/>
              </w:rPr>
              <w:t>/lessons/text</w:t>
            </w:r>
          </w:p>
        </w:tc>
        <w:tc>
          <w:tcPr>
            <w:tcW w:type="dxa" w:w="3099"/>
          </w:tcPr>
          <w:p>
            <w:r>
              <w:rPr>
                <w:sz w:val="16"/>
              </w:rPr>
              <w:t>JSON 文本导入与立即分析</w:t>
            </w:r>
          </w:p>
        </w:tc>
      </w:tr>
      <w:tr>
        <w:trPr>
          <w:cantSplit/>
        </w:trPr>
        <w:tc>
          <w:tcPr>
            <w:tcW w:type="dxa" w:w="3099"/>
          </w:tcPr>
          <w:p>
            <w:r>
              <w:rPr>
                <w:sz w:val="16"/>
              </w:rPr>
              <w:t>POST</w:t>
            </w:r>
          </w:p>
        </w:tc>
        <w:tc>
          <w:tcPr>
            <w:tcW w:type="dxa" w:w="3099"/>
          </w:tcPr>
          <w:p>
            <w:r>
              <w:rPr>
                <w:sz w:val="16"/>
              </w:rPr>
              <w:t>/lessons/example</w:t>
            </w:r>
          </w:p>
        </w:tc>
        <w:tc>
          <w:tcPr>
            <w:tcW w:type="dxa" w:w="3099"/>
          </w:tcPr>
          <w:p>
            <w:r>
              <w:rPr>
                <w:sz w:val="16"/>
              </w:rPr>
              <w:t>为当前账号添加明确标记的合成示例</w:t>
            </w:r>
          </w:p>
        </w:tc>
      </w:tr>
      <w:tr>
        <w:trPr>
          <w:cantSplit/>
        </w:trPr>
        <w:tc>
          <w:tcPr>
            <w:tcW w:type="dxa" w:w="3099"/>
          </w:tcPr>
          <w:p>
            <w:r>
              <w:rPr>
                <w:sz w:val="16"/>
              </w:rPr>
              <w:t>GET</w:t>
            </w:r>
          </w:p>
        </w:tc>
        <w:tc>
          <w:tcPr>
            <w:tcW w:type="dxa" w:w="3099"/>
          </w:tcPr>
          <w:p>
            <w:r>
              <w:rPr>
                <w:sz w:val="16"/>
              </w:rPr>
              <w:t>/lessons/{id}</w:t>
            </w:r>
          </w:p>
        </w:tc>
        <w:tc>
          <w:tcPr>
            <w:tcW w:type="dxa" w:w="3099"/>
          </w:tcPr>
          <w:p>
            <w:r>
              <w:rPr>
                <w:sz w:val="16"/>
              </w:rPr>
              <w:t>课堂详情、分析与帧列表</w:t>
            </w:r>
          </w:p>
        </w:tc>
      </w:tr>
      <w:tr>
        <w:trPr>
          <w:cantSplit/>
        </w:trPr>
        <w:tc>
          <w:tcPr>
            <w:tcW w:type="dxa" w:w="3099"/>
          </w:tcPr>
          <w:p>
            <w:r>
              <w:rPr>
                <w:sz w:val="16"/>
              </w:rPr>
              <w:t>POST</w:t>
            </w:r>
          </w:p>
        </w:tc>
        <w:tc>
          <w:tcPr>
            <w:tcW w:type="dxa" w:w="3099"/>
          </w:tcPr>
          <w:p>
            <w:r>
              <w:rPr>
                <w:sz w:val="16"/>
              </w:rPr>
              <w:t>/lessons/{id}/retry</w:t>
            </w:r>
          </w:p>
        </w:tc>
        <w:tc>
          <w:tcPr>
            <w:tcW w:type="dxa" w:w="3099"/>
          </w:tcPr>
          <w:p>
            <w:r>
              <w:rPr>
                <w:sz w:val="16"/>
              </w:rPr>
              <w:t>重试失败视频任务</w:t>
            </w:r>
          </w:p>
        </w:tc>
      </w:tr>
      <w:tr>
        <w:trPr>
          <w:cantSplit/>
        </w:trPr>
        <w:tc>
          <w:tcPr>
            <w:tcW w:type="dxa" w:w="3099"/>
          </w:tcPr>
          <w:p>
            <w:r>
              <w:rPr>
                <w:sz w:val="16"/>
              </w:rPr>
              <w:t>DELETE</w:t>
            </w:r>
          </w:p>
        </w:tc>
        <w:tc>
          <w:tcPr>
            <w:tcW w:type="dxa" w:w="3099"/>
          </w:tcPr>
          <w:p>
            <w:r>
              <w:rPr>
                <w:sz w:val="16"/>
              </w:rPr>
              <w:t>/lessons/{id}</w:t>
            </w:r>
          </w:p>
        </w:tc>
        <w:tc>
          <w:tcPr>
            <w:tcW w:type="dxa" w:w="3099"/>
          </w:tcPr>
          <w:p>
            <w:r>
              <w:rPr>
                <w:sz w:val="16"/>
              </w:rPr>
              <w:t>删除自己的非运行任务</w:t>
            </w:r>
          </w:p>
        </w:tc>
      </w:tr>
      <w:tr>
        <w:trPr>
          <w:cantSplit/>
        </w:trPr>
        <w:tc>
          <w:tcPr>
            <w:tcW w:type="dxa" w:w="3099"/>
          </w:tcPr>
          <w:p>
            <w:r>
              <w:rPr>
                <w:sz w:val="16"/>
              </w:rPr>
              <w:t>GET</w:t>
            </w:r>
          </w:p>
        </w:tc>
        <w:tc>
          <w:tcPr>
            <w:tcW w:type="dxa" w:w="3099"/>
          </w:tcPr>
          <w:p>
            <w:r>
              <w:rPr>
                <w:sz w:val="16"/>
              </w:rPr>
              <w:t>/lessons/{id}/media</w:t>
            </w:r>
          </w:p>
        </w:tc>
        <w:tc>
          <w:tcPr>
            <w:tcW w:type="dxa" w:w="3099"/>
          </w:tcPr>
          <w:p>
            <w:r>
              <w:rPr>
                <w:sz w:val="16"/>
              </w:rPr>
              <w:t>鉴权视频响应，支持框架的范围请求</w:t>
            </w:r>
          </w:p>
        </w:tc>
      </w:tr>
      <w:tr>
        <w:trPr>
          <w:cantSplit/>
        </w:trPr>
        <w:tc>
          <w:tcPr>
            <w:tcW w:type="dxa" w:w="3099"/>
          </w:tcPr>
          <w:p>
            <w:r>
              <w:rPr>
                <w:sz w:val="16"/>
              </w:rPr>
              <w:t>GET</w:t>
            </w:r>
          </w:p>
        </w:tc>
        <w:tc>
          <w:tcPr>
            <w:tcW w:type="dxa" w:w="3099"/>
          </w:tcPr>
          <w:p>
            <w:r>
              <w:rPr>
                <w:sz w:val="16"/>
              </w:rPr>
              <w:t>/lessons/{id}/frames/{filename}</w:t>
            </w:r>
          </w:p>
        </w:tc>
        <w:tc>
          <w:tcPr>
            <w:tcW w:type="dxa" w:w="3099"/>
          </w:tcPr>
          <w:p>
            <w:r>
              <w:rPr>
                <w:sz w:val="16"/>
              </w:rPr>
              <w:t>鉴权抽帧图片</w:t>
            </w:r>
          </w:p>
        </w:tc>
      </w:tr>
      <w:tr>
        <w:trPr>
          <w:cantSplit/>
        </w:trPr>
        <w:tc>
          <w:tcPr>
            <w:tcW w:type="dxa" w:w="3099"/>
          </w:tcPr>
          <w:p>
            <w:r>
              <w:rPr>
                <w:sz w:val="16"/>
              </w:rPr>
              <w:t>GET</w:t>
            </w:r>
          </w:p>
        </w:tc>
        <w:tc>
          <w:tcPr>
            <w:tcW w:type="dxa" w:w="3099"/>
          </w:tcPr>
          <w:p>
            <w:r>
              <w:rPr>
                <w:sz w:val="16"/>
              </w:rPr>
              <w:t>/lessons/{id}/report?format=md/json/html</w:t>
            </w:r>
          </w:p>
        </w:tc>
        <w:tc>
          <w:tcPr>
            <w:tcW w:type="dxa" w:w="3099"/>
          </w:tcPr>
          <w:p>
            <w:r>
              <w:rPr>
                <w:sz w:val="16"/>
              </w:rPr>
              <w:t>下载报告</w:t>
            </w:r>
          </w:p>
        </w:tc>
      </w:tr>
      <w:tr>
        <w:trPr>
          <w:cantSplit/>
        </w:trPr>
        <w:tc>
          <w:tcPr>
            <w:tcW w:type="dxa" w:w="3099"/>
          </w:tcPr>
          <w:p>
            <w:r>
              <w:rPr>
                <w:sz w:val="16"/>
              </w:rPr>
              <w:t>GET / POST</w:t>
            </w:r>
          </w:p>
        </w:tc>
        <w:tc>
          <w:tcPr>
            <w:tcW w:type="dxa" w:w="3099"/>
          </w:tcPr>
          <w:p>
            <w:r>
              <w:rPr>
                <w:sz w:val="16"/>
              </w:rPr>
              <w:t>/lessons/{id}/chat</w:t>
            </w:r>
          </w:p>
        </w:tc>
        <w:tc>
          <w:tcPr>
            <w:tcW w:type="dxa" w:w="3099"/>
          </w:tcPr>
          <w:p>
            <w:r>
              <w:rPr>
                <w:sz w:val="16"/>
              </w:rPr>
              <w:t>获取含流式状态的历史 / 旧版非流式追问</w:t>
            </w:r>
          </w:p>
        </w:tc>
      </w:tr>
      <w:tr>
        <w:trPr>
          <w:cantSplit/>
        </w:trPr>
        <w:tc>
          <w:tcPr>
            <w:tcW w:type="dxa" w:w="3099"/>
          </w:tcPr>
          <w:p>
            <w:r>
              <w:rPr>
                <w:sz w:val="16"/>
              </w:rPr>
              <w:t>POST</w:t>
            </w:r>
          </w:p>
        </w:tc>
        <w:tc>
          <w:tcPr>
            <w:tcW w:type="dxa" w:w="3099"/>
          </w:tcPr>
          <w:p>
            <w:r>
              <w:rPr>
                <w:sz w:val="16"/>
              </w:rPr>
              <w:t>/lessons/{id}/chat/stream</w:t>
            </w:r>
          </w:p>
        </w:tc>
        <w:tc>
          <w:tcPr>
            <w:tcW w:type="dxa" w:w="3099"/>
          </w:tcPr>
          <w:p>
            <w:r>
              <w:rPr>
                <w:sz w:val="16"/>
              </w:rPr>
              <w:t>发起 SSE 对话或重试最近一轮</w:t>
            </w:r>
          </w:p>
        </w:tc>
      </w:tr>
      <w:tr>
        <w:trPr>
          <w:cantSplit/>
        </w:trPr>
        <w:tc>
          <w:tcPr>
            <w:tcW w:type="dxa" w:w="3099"/>
          </w:tcPr>
          <w:p>
            <w:r>
              <w:rPr>
                <w:sz w:val="16"/>
              </w:rPr>
              <w:t>POST</w:t>
            </w:r>
          </w:p>
        </w:tc>
        <w:tc>
          <w:tcPr>
            <w:tcW w:type="dxa" w:w="3099"/>
          </w:tcPr>
          <w:p>
            <w:r>
              <w:rPr>
                <w:sz w:val="16"/>
              </w:rPr>
              <w:t>/lessons/{id}/chat/{request_id}/stop</w:t>
            </w:r>
          </w:p>
        </w:tc>
        <w:tc>
          <w:tcPr>
            <w:tcW w:type="dxa" w:w="3099"/>
          </w:tcPr>
          <w:p>
            <w:r>
              <w:rPr>
                <w:sz w:val="16"/>
              </w:rPr>
              <w:t>停止当前轮次，保留收到内容</w:t>
            </w:r>
          </w:p>
        </w:tc>
      </w:tr>
      <w:tr>
        <w:trPr>
          <w:cantSplit/>
        </w:trPr>
        <w:tc>
          <w:tcPr>
            <w:tcW w:type="dxa" w:w="3099"/>
          </w:tcPr>
          <w:p>
            <w:r>
              <w:rPr>
                <w:sz w:val="16"/>
              </w:rPr>
              <w:t>GET / POST</w:t>
            </w:r>
          </w:p>
        </w:tc>
        <w:tc>
          <w:tcPr>
            <w:tcW w:type="dxa" w:w="3099"/>
          </w:tcPr>
          <w:p>
            <w:r>
              <w:rPr>
                <w:sz w:val="16"/>
              </w:rPr>
              <w:t>/admin/users</w:t>
            </w:r>
          </w:p>
        </w:tc>
        <w:tc>
          <w:tcPr>
            <w:tcW w:type="dxa" w:w="3099"/>
          </w:tcPr>
          <w:p>
            <w:r>
              <w:rPr>
                <w:sz w:val="16"/>
              </w:rPr>
              <w:t>账号列表 / 创建账号</w:t>
            </w:r>
          </w:p>
        </w:tc>
      </w:tr>
      <w:tr>
        <w:trPr>
          <w:cantSplit/>
        </w:trPr>
        <w:tc>
          <w:tcPr>
            <w:tcW w:type="dxa" w:w="3099"/>
          </w:tcPr>
          <w:p>
            <w:r>
              <w:rPr>
                <w:sz w:val="16"/>
              </w:rPr>
              <w:t>GET</w:t>
            </w:r>
          </w:p>
        </w:tc>
        <w:tc>
          <w:tcPr>
            <w:tcW w:type="dxa" w:w="3099"/>
          </w:tcPr>
          <w:p>
            <w:r>
              <w:rPr>
                <w:sz w:val="16"/>
              </w:rPr>
              <w:t>/admin/users/{id}/backup</w:t>
            </w:r>
          </w:p>
        </w:tc>
        <w:tc>
          <w:tcPr>
            <w:tcW w:type="dxa" w:w="3099"/>
          </w:tcPr>
          <w:p>
            <w:r>
              <w:rPr>
                <w:sz w:val="16"/>
              </w:rPr>
              <w:t>按账号 ZIP 备份</w:t>
            </w:r>
          </w:p>
        </w:tc>
      </w:tr>
      <w:tr>
        <w:trPr>
          <w:cantSplit/>
        </w:trPr>
        <w:tc>
          <w:tcPr>
            <w:tcW w:type="dxa" w:w="3099"/>
          </w:tcPr>
          <w:p>
            <w:r>
              <w:rPr>
                <w:sz w:val="16"/>
              </w:rPr>
              <w:t>GET</w:t>
            </w:r>
          </w:p>
        </w:tc>
        <w:tc>
          <w:tcPr>
            <w:tcW w:type="dxa" w:w="3099"/>
          </w:tcPr>
          <w:p>
            <w:r>
              <w:rPr>
                <w:sz w:val="16"/>
              </w:rPr>
              <w:t>/model-settings</w:t>
            </w:r>
          </w:p>
        </w:tc>
        <w:tc>
          <w:tcPr>
            <w:tcW w:type="dxa" w:w="3099"/>
          </w:tcPr>
          <w:p>
            <w:r>
              <w:rPr>
                <w:sz w:val="16"/>
              </w:rPr>
              <w:t>当前账号配置与密钥已配置标志，不返回密钥</w:t>
            </w:r>
          </w:p>
        </w:tc>
      </w:tr>
      <w:tr>
        <w:trPr>
          <w:cantSplit/>
        </w:trPr>
        <w:tc>
          <w:tcPr>
            <w:tcW w:type="dxa" w:w="3099"/>
          </w:tcPr>
          <w:p>
            <w:r>
              <w:rPr>
                <w:sz w:val="16"/>
              </w:rPr>
              <w:t>PUT</w:t>
            </w:r>
          </w:p>
        </w:tc>
        <w:tc>
          <w:tcPr>
            <w:tcW w:type="dxa" w:w="3099"/>
          </w:tcPr>
          <w:p>
            <w:r>
              <w:rPr>
                <w:sz w:val="16"/>
              </w:rPr>
              <w:t>/model-settings</w:t>
            </w:r>
          </w:p>
        </w:tc>
        <w:tc>
          <w:tcPr>
            <w:tcW w:type="dxa" w:w="3099"/>
          </w:tcPr>
          <w:p>
            <w:r>
              <w:rPr>
                <w:sz w:val="16"/>
              </w:rPr>
              <w:t>保存当前账号的模型服务设置</w:t>
            </w:r>
          </w:p>
        </w:tc>
      </w:tr>
      <w:tr>
        <w:trPr>
          <w:cantSplit/>
        </w:trPr>
        <w:tc>
          <w:tcPr>
            <w:tcW w:type="dxa" w:w="3099"/>
          </w:tcPr>
          <w:p>
            <w:r>
              <w:rPr>
                <w:sz w:val="16"/>
              </w:rPr>
              <w:t>POST</w:t>
            </w:r>
          </w:p>
        </w:tc>
        <w:tc>
          <w:tcPr>
            <w:tcW w:type="dxa" w:w="3099"/>
          </w:tcPr>
          <w:p>
            <w:r>
              <w:rPr>
                <w:sz w:val="16"/>
              </w:rPr>
              <w:t>/model-settings/test</w:t>
            </w:r>
          </w:p>
        </w:tc>
        <w:tc>
          <w:tcPr>
            <w:tcW w:type="dxa" w:w="3099"/>
          </w:tcPr>
          <w:p>
            <w:r>
              <w:rPr>
                <w:sz w:val="16"/>
              </w:rPr>
              <w:t>使用当前表单进行连接测试，不保存配置</w:t>
            </w:r>
          </w:p>
        </w:tc>
      </w:tr>
      <w:tr>
        <w:trPr>
          <w:cantSplit/>
        </w:trPr>
        <w:tc>
          <w:tcPr>
            <w:tcW w:type="dxa" w:w="3099"/>
          </w:tcPr>
          <w:p>
            <w:r>
              <w:rPr>
                <w:sz w:val="16"/>
              </w:rPr>
              <w:t>GET</w:t>
            </w:r>
          </w:p>
        </w:tc>
        <w:tc>
          <w:tcPr>
            <w:tcW w:type="dxa" w:w="3099"/>
          </w:tcPr>
          <w:p>
            <w:r>
              <w:rPr>
                <w:sz w:val="16"/>
              </w:rPr>
              <w:t>/admin/audit</w:t>
            </w:r>
          </w:p>
        </w:tc>
        <w:tc>
          <w:tcPr>
            <w:tcW w:type="dxa" w:w="3099"/>
          </w:tcPr>
          <w:p>
            <w:r>
              <w:rPr>
                <w:sz w:val="16"/>
              </w:rPr>
              <w:t>最近操作审计</w:t>
            </w:r>
          </w:p>
        </w:tc>
      </w:tr>
    </w:tbl>
    <w:p/>
    <w:p>
      <w:r>
        <w:t>除登录和存活检查外，业务接口需要会话 Cookie。写接口还需要 X-CSRF-Token。错误码：401 未登录，403 校验或权限失败，404 资源不存在或不归当前账号，409 任务状态冲突，413 上传过大，422 请求结构错误，429 登录尝试超限。</w:t>
      </w:r>
    </w:p>
    <w:p>
      <w:r>
        <w:t>首次登录示例请求体为 {"username":"teacher01","password":"学校分配的密码"}。不要将真实账号密码硬编码到集成代码中。</w:t>
      </w:r>
    </w:p>
    <w:p>
      <w:pPr>
        <w:pStyle w:val="Heading1"/>
      </w:pPr>
      <w:r>
        <w:t>10. 验收与测试</w:t>
      </w:r>
    </w:p>
    <w:p>
      <w:pPr>
        <w:pStyle w:val="Heading2"/>
      </w:pPr>
      <w:r>
        <w:t>10.1 自动化</w:t>
      </w:r>
    </w:p>
    <w:p>
      <w:r>
        <w:t>后端测试覆盖文本与字幕解析、指标证据、未知说话人、账号间各资源隔离、CSRF、Origin、密码会话失效、账号创建、备份内容、上传限额与失败、报告转义、登录频控以及仅回环模型地址。</w:t>
      </w:r>
    </w:p>
    <w:p>
      <w:r>
        <w:t>浏览器测试覆盖登录页、只读示例、工作台、建议跳转原文、追问、上传对话框、Esc 关闭、移动端导航和页面溢出检查，并记录浏览器实际请求是否出现外部资源。提供真实账号条件下的登录、文本导入、报告下载、追问、教师账号创建和注销检查。</w:t>
      </w:r>
    </w:p>
    <w:p>
      <w:r>
        <w:t>详细已执行结果与环境限制见《验收记录》。测试不以模拟模型结果冒充真实 Whisper 转写或真实大模型推理。</w:t>
      </w:r>
    </w:p>
    <w:p>
      <w:pPr>
        <w:pStyle w:val="Heading2"/>
      </w:pPr>
      <w:r>
        <w:t>10.2 学校现场验收建议</w:t>
      </w:r>
    </w:p>
    <w:p>
      <w:pPr>
        <w:pStyle w:val="ListNumber"/>
      </w:pPr>
      <w:r>
        <w:t>使用学校实际录音环境的 10–20 分钟课堂样本，确认中文转写质量和耗时。</w:t>
      </w:r>
    </w:p>
    <w:p>
      <w:pPr>
        <w:pStyle w:val="ListNumber"/>
      </w:pPr>
      <w:r>
        <w:t>手动复核环节、疑问句和互动邀请线索，记录误报与漏报。</w:t>
      </w:r>
    </w:p>
    <w:p>
      <w:pPr>
        <w:pStyle w:val="ListNumber"/>
      </w:pPr>
      <w:r>
        <w:t>使用两个教师账号交叉访问课堂、报告、媒体、聊天，确认返回 404。</w:t>
      </w:r>
    </w:p>
    <w:p>
      <w:pPr>
        <w:pStyle w:val="ListNumber"/>
      </w:pPr>
      <w:r>
        <w:t>关闭外网出口，重复上传、转写、分析、追问与下载；使用网络监测核实内网边界。</w:t>
      </w:r>
    </w:p>
    <w:p>
      <w:pPr>
        <w:pStyle w:val="ListNumber"/>
      </w:pPr>
      <w:r>
        <w:t>核查模型与 GPU 环境；没有 Ollama 时确认界面显示规则模式。</w:t>
      </w:r>
    </w:p>
    <w:p>
      <w:pPr>
        <w:pStyle w:val="ListNumber"/>
      </w:pPr>
      <w:r>
        <w:t>执行停止服务后的完整备份与恢复演练，核查报告、文件、账号权限。</w:t>
      </w:r>
    </w:p>
    <w:p>
      <w:pPr>
        <w:pStyle w:val="Heading1"/>
      </w:pPr>
      <w:r>
        <w:t>11. 已知边界与扩展路线</w:t>
      </w:r>
    </w:p>
    <w:p>
      <w:r>
        <w:t>一期不含深度视觉识别、声纹分离、准确师生话语时长比例、自动评分排名、教务系统单点登录、多应用实例分布式队列、在线原子备份、备份自动回灌和多租户操作系统沙箱。</w:t>
      </w:r>
    </w:p>
    <w:p>
      <w:r>
        <w:t>后续可扩展：</w:t>
      </w:r>
    </w:p>
    <w:p>
      <w:pPr>
        <w:pStyle w:val="ListBullet"/>
      </w:pPr>
      <w:r>
        <w:t>经过校方评估的本地教学环节分类模型与人工校正。</w:t>
      </w:r>
    </w:p>
    <w:p>
      <w:pPr>
        <w:pStyle w:val="ListBullet"/>
      </w:pPr>
      <w:r>
        <w:t>本地说话人分离及身份人工确认，再计算师生参与分布。</w:t>
      </w:r>
    </w:p>
    <w:p>
      <w:pPr>
        <w:pStyle w:val="ListBullet"/>
      </w:pPr>
      <w:r>
        <w:t>板书 OCR、课件变化、动作识别；增加证据置信度和复核流程。</w:t>
      </w:r>
    </w:p>
    <w:p>
      <w:pPr>
        <w:pStyle w:val="ListBullet"/>
      </w:pPr>
      <w:r>
        <w:t>本地向量索引检索全部课堂片段，替代当前前 100 段上下文限制。</w:t>
      </w:r>
    </w:p>
    <w:p>
      <w:pPr>
        <w:pStyle w:val="ListBullet"/>
      </w:pPr>
      <w:r>
        <w:t>持久任务队列、独立推理 worker、并发资源调度与配额。</w:t>
      </w:r>
    </w:p>
    <w:p>
      <w:pPr>
        <w:pStyle w:val="ListBullet"/>
      </w:pPr>
      <w:r>
        <w:t>LDAP / 校园统一身份、教研组授权共享、定时备份和灾备恢复助手。</w:t>
      </w:r>
    </w:p>
    <w:p>
      <w:r>
        <w:t>扩展仍遵循“学校控制模型与服务器、课堂资料不出内网、教师数据按权限隔离”的边界。</w:t>
      </w:r>
    </w:p>
    <w:p>
      <w:r>
        <w:t>本版本完整回归结果见 [2026-09-18 系统检验报告](系统检验报告-2026-09-18.md)。真实在线供应商尚未用学校凭据验收；本次兼容服务测试使用本机 HTTP 协议模拟服务。</w:t>
      </w:r>
    </w:p>
    <w:sectPr w:rsidR="00FC693F" w:rsidRPr="0006063C" w:rsidSect="00034616">
      <w:headerReference w:type="default" r:id="rId9"/>
      <w:footerReference w:type="default" r:id="rId10"/>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TeachAgent 1.1.0    ·    功能与部署文档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TEACHAGENT     /     学校本地课堂洞察与教学成长工作台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Microsoft YaHei" w:hAnsi="Microsoft YaHei" w:eastAsia="Microsoft YaHei"/>
      <w:color w:val="344C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244F3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44F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44F3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244F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312" w:lineRule="auto"/>
    </w:pPr>
    <w:rPr>
      <w:rFonts w:ascii="Microsoft YaHei" w:hAnsi="Microsoft YaHei" w:eastAsia="Microsoft YaHei"/>
      <w:color w:val="344C36"/>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312" w:lineRule="auto"/>
      <w:contextualSpacing/>
    </w:pPr>
    <w:rPr>
      <w:rFonts w:ascii="Microsoft YaHei" w:hAnsi="Microsoft YaHei" w:eastAsia="Microsoft YaHei"/>
      <w:color w:val="344C36"/>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312" w:lineRule="auto"/>
      <w:contextualSpacing/>
    </w:pPr>
    <w:rPr>
      <w:rFonts w:ascii="Microsoft YaHei" w:hAnsi="Microsoft YaHei" w:eastAsia="Microsoft YaHei"/>
      <w:color w:val="344C36"/>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