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二次函数的图像与性质</w:t>
      </w:r>
    </w:p>
    <w:p>
      <w:pPr>
        <w:pStyle w:val="Subtitle"/>
      </w:pPr>
      <w:r>
        <w:t>教学分析报告</w:t>
      </w:r>
    </w:p>
    <w:p>
      <w:r>
        <w:t>学科：数学    班级：九年级 · 三班</w:t>
      </w:r>
    </w:p>
    <w:p>
      <w:r>
        <w:t>数据性质：合成示例，仅用于体验。</w:t>
      </w:r>
    </w:p>
    <w:p>
      <w:pPr>
        <w:pStyle w:val="Heading1"/>
      </w:pPr>
      <w:r>
        <w:t>授课方式画像</w:t>
      </w:r>
    </w:p>
    <w:p>
      <w:r>
        <w:t>本课共整理 26 个话语片段，识别到 4 处提问线索、1 处互动邀请。主要环节为「知识讲授」，可结合原文证据回看教学节奏。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5"/>
          </w:tcPr>
          <w:p>
            <w:pPr>
              <w:keepNext/>
            </w:pPr>
            <w:r>
              <w:t>指标</w:t>
            </w:r>
          </w:p>
        </w:tc>
        <w:tc>
          <w:tcPr>
            <w:tcW w:type="dxa" w:w="4680"/>
            <w:shd w:fill="E8EEF5"/>
          </w:tcPr>
          <w:p>
            <w:pPr>
              <w:keepNext/>
            </w:pPr>
            <w:r>
              <w:t>结果</w:t>
            </w:r>
          </w:p>
        </w:tc>
      </w:tr>
      <w:tr>
        <w:tc>
          <w:tcPr>
            <w:tcW w:type="dxa" w:w="4680"/>
          </w:tcPr>
          <w:p>
            <w:r>
              <w:t>有效字符</w:t>
            </w:r>
          </w:p>
        </w:tc>
        <w:tc>
          <w:tcPr>
            <w:tcW w:type="dxa" w:w="4680"/>
          </w:tcPr>
          <w:p>
            <w:r>
              <w:t>547</w:t>
            </w:r>
          </w:p>
        </w:tc>
      </w:tr>
      <w:tr>
        <w:tc>
          <w:tcPr>
            <w:tcW w:type="dxa" w:w="4680"/>
          </w:tcPr>
          <w:p>
            <w:r>
              <w:t>话语片段</w:t>
            </w:r>
          </w:p>
        </w:tc>
        <w:tc>
          <w:tcPr>
            <w:tcW w:type="dxa" w:w="4680"/>
          </w:tcPr>
          <w:p>
            <w:r>
              <w:t>26</w:t>
            </w:r>
          </w:p>
        </w:tc>
      </w:tr>
      <w:tr>
        <w:tc>
          <w:tcPr>
            <w:tcW w:type="dxa" w:w="4680"/>
          </w:tcPr>
          <w:p>
            <w:r>
              <w:t>提问线索</w:t>
            </w:r>
          </w:p>
        </w:tc>
        <w:tc>
          <w:tcPr>
            <w:tcW w:type="dxa" w:w="4680"/>
          </w:tcPr>
          <w:p>
            <w:r>
              <w:t>4</w:t>
            </w:r>
          </w:p>
        </w:tc>
      </w:tr>
      <w:tr>
        <w:tc>
          <w:tcPr>
            <w:tcW w:type="dxa" w:w="4680"/>
          </w:tcPr>
          <w:p>
            <w:r>
              <w:t>互动邀请线索</w:t>
            </w:r>
          </w:p>
        </w:tc>
        <w:tc>
          <w:tcPr>
            <w:tcW w:type="dxa" w:w="4680"/>
          </w:tcPr>
          <w:p>
            <w:r>
              <w:t>1</w:t>
            </w:r>
          </w:p>
        </w:tc>
      </w:tr>
      <w:tr>
        <w:tc>
          <w:tcPr>
            <w:tcW w:type="dxa" w:w="4680"/>
          </w:tcPr>
          <w:p>
            <w:r>
              <w:t>话语语速（字/分钟）</w:t>
            </w:r>
          </w:p>
        </w:tc>
        <w:tc>
          <w:tcPr>
            <w:tcW w:type="dxa" w:w="4680"/>
          </w:tcPr>
          <w:p>
            <w:r>
              <w:t>16</w:t>
            </w:r>
          </w:p>
        </w:tc>
      </w:tr>
      <w:tr>
        <w:tc>
          <w:tcPr>
            <w:tcW w:type="dxa" w:w="4680"/>
          </w:tcPr>
          <w:p>
            <w:r>
              <w:t>显式学生标签片段</w:t>
            </w:r>
          </w:p>
        </w:tc>
        <w:tc>
          <w:tcPr>
            <w:tcW w:type="dxa" w:w="4680"/>
          </w:tcPr>
          <w:p>
            <w:r>
              <w:t>3</w:t>
            </w:r>
          </w:p>
        </w:tc>
      </w:tr>
    </w:tbl>
    <w:p>
      <w:pPr>
        <w:pStyle w:val="Heading1"/>
      </w:pPr>
      <w:r>
        <w:t>环节时间分配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EF5"/>
          </w:tcPr>
          <w:p>
            <w:pPr>
              <w:keepNext/>
            </w:pPr>
            <w:r>
              <w:t>环节</w:t>
            </w:r>
          </w:p>
        </w:tc>
        <w:tc>
          <w:tcPr>
            <w:tcW w:type="dxa" w:w="3120"/>
            <w:shd w:fill="E8EEF5"/>
          </w:tcPr>
          <w:p>
            <w:pPr>
              <w:keepNext/>
            </w:pPr>
            <w:r>
              <w:t>有效话语时长（秒）</w:t>
            </w:r>
          </w:p>
        </w:tc>
        <w:tc>
          <w:tcPr>
            <w:tcW w:type="dxa" w:w="3120"/>
            <w:shd w:fill="E8EEF5"/>
          </w:tcPr>
          <w:p>
            <w:pPr>
              <w:keepNext/>
            </w:pPr>
            <w:r>
              <w:t>占比</w:t>
            </w:r>
          </w:p>
        </w:tc>
      </w:tr>
      <w:tr>
        <w:tc>
          <w:tcPr>
            <w:tcW w:type="dxa" w:w="3120"/>
          </w:tcPr>
          <w:p>
            <w:r>
              <w:t>课堂导入</w:t>
            </w:r>
          </w:p>
        </w:tc>
        <w:tc>
          <w:tcPr>
            <w:tcW w:type="dxa" w:w="3120"/>
          </w:tcPr>
          <w:p>
            <w:r>
              <w:t>160.0</w:t>
            </w:r>
          </w:p>
        </w:tc>
        <w:tc>
          <w:tcPr>
            <w:tcW w:type="dxa" w:w="3120"/>
          </w:tcPr>
          <w:p>
            <w:r>
              <w:t>7.7%</w:t>
            </w:r>
          </w:p>
        </w:tc>
      </w:tr>
      <w:tr>
        <w:tc>
          <w:tcPr>
            <w:tcW w:type="dxa" w:w="3120"/>
          </w:tcPr>
          <w:p>
            <w:r>
              <w:t>知识讲授</w:t>
            </w:r>
          </w:p>
        </w:tc>
        <w:tc>
          <w:tcPr>
            <w:tcW w:type="dxa" w:w="3120"/>
          </w:tcPr>
          <w:p>
            <w:r>
              <w:t>1440.0</w:t>
            </w:r>
          </w:p>
        </w:tc>
        <w:tc>
          <w:tcPr>
            <w:tcW w:type="dxa" w:w="3120"/>
          </w:tcPr>
          <w:p>
            <w:r>
              <w:t>69.2%</w:t>
            </w:r>
          </w:p>
        </w:tc>
      </w:tr>
      <w:tr>
        <w:tc>
          <w:tcPr>
            <w:tcW w:type="dxa" w:w="3120"/>
          </w:tcPr>
          <w:p>
            <w:r>
              <w:t>练习巩固</w:t>
            </w:r>
          </w:p>
        </w:tc>
        <w:tc>
          <w:tcPr>
            <w:tcW w:type="dxa" w:w="3120"/>
          </w:tcPr>
          <w:p>
            <w:r>
              <w:t>240.0</w:t>
            </w:r>
          </w:p>
        </w:tc>
        <w:tc>
          <w:tcPr>
            <w:tcW w:type="dxa" w:w="3120"/>
          </w:tcPr>
          <w:p>
            <w:r>
              <w:t>11.5%</w:t>
            </w:r>
          </w:p>
        </w:tc>
      </w:tr>
      <w:tr>
        <w:tc>
          <w:tcPr>
            <w:tcW w:type="dxa" w:w="3120"/>
          </w:tcPr>
          <w:p>
            <w:r>
              <w:t>探究互动</w:t>
            </w:r>
          </w:p>
        </w:tc>
        <w:tc>
          <w:tcPr>
            <w:tcW w:type="dxa" w:w="3120"/>
          </w:tcPr>
          <w:p>
            <w:r>
              <w:t>80.0</w:t>
            </w:r>
          </w:p>
        </w:tc>
        <w:tc>
          <w:tcPr>
            <w:tcW w:type="dxa" w:w="3120"/>
          </w:tcPr>
          <w:p>
            <w:r>
              <w:t>3.8%</w:t>
            </w:r>
          </w:p>
        </w:tc>
      </w:tr>
      <w:tr>
        <w:tc>
          <w:tcPr>
            <w:tcW w:type="dxa" w:w="3120"/>
          </w:tcPr>
          <w:p>
            <w:r>
              <w:t>总结回顾</w:t>
            </w:r>
          </w:p>
        </w:tc>
        <w:tc>
          <w:tcPr>
            <w:tcW w:type="dxa" w:w="3120"/>
          </w:tcPr>
          <w:p>
            <w:r>
              <w:t>160.0</w:t>
            </w:r>
          </w:p>
        </w:tc>
        <w:tc>
          <w:tcPr>
            <w:tcW w:type="dxa" w:w="3120"/>
          </w:tcPr>
          <w:p>
            <w:r>
              <w:t>7.7%</w:t>
            </w:r>
          </w:p>
        </w:tc>
      </w:tr>
    </w:tbl>
    <w:p>
      <w:pPr>
        <w:pStyle w:val="Heading1"/>
      </w:pPr>
      <w:r>
        <w:t>可优化点清单</w:t>
      </w:r>
    </w:p>
    <w:p>
      <w:pPr>
        <w:pStyle w:val="Heading2"/>
      </w:pPr>
      <w:r>
        <w:t>给学生留出可见的表达机会</w:t>
      </w:r>
    </w:p>
    <w:p>
      <w:pPr>
        <w:keepNext/>
      </w:pPr>
      <w:r>
        <w:t>证据（片段 #1）：全文识别到 1 处互动邀请线索；最长连续环节为「课堂导入」。</w:t>
      </w:r>
    </w:p>
    <w:p>
      <w:r>
        <w:t>建议：在这一环节加入一次“独立思考 30 秒 → 同桌交流 60 秒 → 两位学生分享”，并记录不同观点。</w:t>
      </w:r>
    </w:p>
    <w:p>
      <w:pPr>
        <w:pStyle w:val="Heading2"/>
      </w:pPr>
      <w:r>
        <w:t>让提问从判断走向解释</w:t>
      </w:r>
    </w:p>
    <w:p>
      <w:pPr>
        <w:keepNext/>
      </w:pPr>
      <w:r>
        <w:t>证据（片段 #2）：识别到 4 个含疑问线索的话语片段，例如“教师：回顾上节课学习的一次函数，它的图像有什么特点？”。</w:t>
      </w:r>
    </w:p>
    <w:p>
      <w:r>
        <w:t>建议：选择一个问题，增加“你的依据是什么？”和“还有其他解法吗？”两轮追问，等待至少 3–5 秒。</w:t>
      </w:r>
    </w:p>
    <w:p>
      <w:pPr>
        <w:pStyle w:val="Heading2"/>
      </w:pPr>
      <w:r>
        <w:t>关注“那么”的重复使用</w:t>
      </w:r>
    </w:p>
    <w:p>
      <w:pPr>
        <w:keepNext/>
      </w:pPr>
      <w:r>
        <w:t>证据（片段 #4）：该表达出现 6 次。部分用法可能具有教学意义，需要结合原文判断。</w:t>
      </w:r>
    </w:p>
    <w:p>
      <w:r>
        <w:t>建议：回听高频片段，将不必要的衔接词换成短暂停顿，在关键概念前后保留清晰留白。</w:t>
      </w:r>
    </w:p>
    <w:p>
      <w:pPr>
        <w:pStyle w:val="Heading1"/>
      </w:pPr>
      <w:r>
        <w:t>方法与边界</w:t>
      </w:r>
    </w:p>
    <w:p>
      <w:r>
        <w:t>环节、提问与互动使用可审计的文本规则识别，属于线索而非人工确认事实。</w:t>
      </w:r>
    </w:p>
    <w:p>
      <w:r>
        <w:t>未进行声纹分离；仅识别文本显式师生标签，不推测真实师生发言占比。</w:t>
      </w:r>
    </w:p>
    <w:p>
      <w:r>
        <w:t>普通文本时间轴按每秒 3.5 字估算；SRT/VTT 与 ASR 使用原始时间戳。</w:t>
      </w:r>
    </w:p>
    <w:p>
      <w:r>
        <w:t>语速为有效话语时长内字符数/分钟；重叠字幕可能影响计算。</w:t>
      </w:r>
    </w:p>
    <w:p>
      <w:r>
        <w:t>一期不含动作、情绪、板书或深度视觉识别。</w:t>
      </w:r>
    </w:p>
    <w:p>
      <w:pPr>
        <w:pStyle w:val="Heading1"/>
      </w:pPr>
      <w:r>
        <w:t>转写原文</w:t>
      </w:r>
    </w:p>
    <w:p>
      <w:r>
        <w:t>[00:00] #1 【课堂导入】教师：同学们好，今天我们从生活中的抛物线开始，认识二次函数。</w:t>
      </w:r>
    </w:p>
    <w:p>
      <w:r>
        <w:t>[01:35] #2 【课堂导入】教师：回顾上节课学习的一次函数，它的图像有什么特点？</w:t>
      </w:r>
    </w:p>
    <w:p>
      <w:r>
        <w:t>[03:10] #3 【知识讲授】学生：一次函数的图像是一条直线。</w:t>
      </w:r>
    </w:p>
    <w:p>
      <w:r>
        <w:t>[04:45] #4 【知识讲授】教师：那么，如果把一次项变成平方项，图像会发生什么变化？</w:t>
      </w:r>
    </w:p>
    <w:p>
      <w:r>
        <w:t>[06:20] #5 【知识讲授】教师：请观察函数 y=x² 的表达式，自变量可以取任意实数。</w:t>
      </w:r>
    </w:p>
    <w:p>
      <w:r>
        <w:t>[07:55] #6 【知识讲授】教师：我们先建立平面直角坐标系，标出横轴与纵轴的单位。</w:t>
      </w:r>
    </w:p>
    <w:p>
      <w:r>
        <w:t>[09:30] #7 【知识讲授】教师：然后，取 -3 到 3 的整数，分别求出对应的函数值。</w:t>
      </w:r>
    </w:p>
    <w:p>
      <w:r>
        <w:t>[11:05] #8 【知识讲授】教师：那么，将这些点在坐标系中描出，注意坐标的正负号。</w:t>
      </w:r>
    </w:p>
    <w:p>
      <w:r>
        <w:t>[12:40] #9 【知识讲授】教师：用平滑的曲线连接这些点，就得到一条抛物线。</w:t>
      </w:r>
    </w:p>
    <w:p>
      <w:r>
        <w:t>[14:15] #10 【知识讲授】教师：那么，这条曲线具有轴对称的性质，对称轴是 y 轴。</w:t>
      </w:r>
    </w:p>
    <w:p>
      <w:r>
        <w:t>[15:50] #11 【知识讲授】教师：当 x=0 时，函数取到最小值，原点称为顶点。</w:t>
      </w:r>
    </w:p>
    <w:p>
      <w:r>
        <w:t>[17:25] #12 【知识讲授】教师：然后，我们观察 y=2x² 与 y=x² 的差异。</w:t>
      </w:r>
    </w:p>
    <w:p>
      <w:r>
        <w:t>[19:00] #13 【知识讲授】教师：系数绝对值增大，抛物线的开口变窄，这一点要注意。</w:t>
      </w:r>
    </w:p>
    <w:p>
      <w:r>
        <w:t>[20:35] #14 【知识讲授】教师：接下来比较 y=-x²，开口方向向下，对不对？</w:t>
      </w:r>
    </w:p>
    <w:p>
      <w:r>
        <w:t>[22:10] #15 【知识讲授】教师：那么，系数的正负决定开口方向，绝对值影响开口大小。</w:t>
      </w:r>
    </w:p>
    <w:p>
      <w:r>
        <w:t>[23:45] #16 【知识讲授】教师：在顶点左侧和右侧，函数值的变化趋势不同。</w:t>
      </w:r>
    </w:p>
    <w:p>
      <w:r>
        <w:t>[25:20] #17 【知识讲授】教师：我们可以通过列表、描点、连线三个步骤作图。</w:t>
      </w:r>
    </w:p>
    <w:p>
      <w:r>
        <w:t>[26:55] #18 【练习巩固】教师：那么，请独立完成练习一，画出 y=0.5x² 的图像。</w:t>
      </w:r>
    </w:p>
    <w:p>
      <w:r>
        <w:t>[28:30] #19 【知识讲授】学生：老师，我画的图像比 y=x² 更宽。</w:t>
      </w:r>
    </w:p>
    <w:p>
      <w:r>
        <w:t>[30:05] #20 【探究互动】教师：这个观察很好。你认为是什么决定了开口大小？请分享依据。</w:t>
      </w:r>
    </w:p>
    <w:p>
      <w:r>
        <w:t>[31:40] #21 【知识讲授】学生：系数的绝对值小于一，所以开口更宽。</w:t>
      </w:r>
    </w:p>
    <w:p>
      <w:r>
        <w:t>[33:15] #22 【练习巩固】教师：然后完成练习二，比较三个函数的开口方向。</w:t>
      </w:r>
    </w:p>
    <w:p>
      <w:r>
        <w:t>[34:50] #23 【练习巩固】教师：请计算当 x=2 时三个函数的值，并检查符号。</w:t>
      </w:r>
    </w:p>
    <w:p>
      <w:r>
        <w:t>[36:25] #24 【知识讲授】教师：那么，作图时不要把抛物线画成折线。</w:t>
      </w:r>
    </w:p>
    <w:p>
      <w:r>
        <w:t>[38:00] #25 【总结回顾】教师：这节课我们总结二次函数的开口、顶点与对称轴。</w:t>
      </w:r>
    </w:p>
    <w:p>
      <w:r>
        <w:t>[39:35] #26 【总结回顾】教师：请用一句话归纳系数 a 对函数图像的影响，下课。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TeachAgent · 课堂教学分析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120"/>
    </w:pPr>
    <w:rPr>
      <w:rFonts w:ascii="Calibri" w:hAnsi="Calibri" w:eastAsia="Microsoft YaHei"/>
      <w:color w:val="244E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cstheme="majorBidi" w:ascii="Calibri" w:hAnsi="Calibri" w:eastAsia="Microsoft YaHei"/>
      <w:b/>
      <w:bCs/>
      <w:color w:val="244E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cstheme="majorBidi" w:ascii="Calibri" w:hAnsi="Calibri" w:eastAsia="Microsoft YaHei"/>
      <w:b/>
      <w:bCs/>
      <w:color w:val="244E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00" w:lineRule="auto" w:before="0"/>
      <w:contextualSpacing/>
    </w:pPr>
    <w:rPr>
      <w:rFonts w:cstheme="majorBidi" w:ascii="Calibri" w:hAnsi="Calibri" w:eastAsia="Microsoft YaHei"/>
      <w:color w:val="244E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auto" w:before="0" w:after="120"/>
    </w:pPr>
    <w:rPr>
      <w:rFonts w:cstheme="majorBidi" w:ascii="Calibri" w:hAnsi="Calibri" w:eastAsia="Microsoft YaHei"/>
      <w:i/>
      <w:iCs/>
      <w:color w:val="244E3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二次函数的图像与性质 · 教学分析报告</dc:title>
  <dc:subject/>
  <dc:creator>TeachAgent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