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黑体"/>
          <w:b/>
          <w:sz w:val="36"/>
        </w:rPr>
        <w:t>Tang Primer 25K 雷达 LVDS 采集 FPGA 套件采购</w:t>
      </w:r>
    </w:p>
    <w:p>
      <w:pPr>
        <w:pStyle w:val="Heading1"/>
      </w:pPr>
      <w:r>
        <w:rPr>
          <w:rFonts w:ascii="Times New Roman" w:hAnsi="Times New Roman" w:eastAsia="黑体"/>
          <w:sz w:val="28"/>
        </w:rPr>
        <w:t>一、需求分析</w:t>
      </w:r>
    </w:p>
    <w:p>
      <w:r>
        <w:rPr>
          <w:rFonts w:ascii="Times New Roman" w:hAnsi="Times New Roman" w:eastAsia="宋体"/>
          <w:b w:val="0"/>
        </w:rPr>
        <w:t>雷达 LVDS 原始数据采集涉及高速并行数据、帧同步、时序约束和缓存链路，直接在自研采集卡上调试风险较高。需要一套低成本 FPGA 开发板先验证 LVDS 接收、解串和测试向量逻辑，为自研 1Gbps USB3.0 雷达采集卡降低调试风险。</w:t>
      </w:r>
    </w:p>
    <w:p>
      <w:pPr>
        <w:pStyle w:val="Heading1"/>
      </w:pPr>
      <w:r>
        <w:rPr>
          <w:rFonts w:ascii="Times New Roman" w:hAnsi="Times New Roman" w:eastAsia="黑体"/>
          <w:sz w:val="28"/>
        </w:rPr>
        <w:t>二、目的用途</w:t>
      </w:r>
    </w:p>
    <w:p>
      <w:r>
        <w:rPr>
          <w:rFonts w:ascii="Times New Roman" w:hAnsi="Times New Roman" w:eastAsia="宋体"/>
          <w:b w:val="0"/>
        </w:rPr>
        <w:t>采购 Tang Primer 25K FPGA 开发套件，用于雷达 LVDS 原始数据采集前端验证。FPGA 用于实现 LVDS 接收、帧同步、解串、缓冲、测试 pattern 生成和错误计数，Dock 底板用于快速接线、烧录和调试。</w:t>
      </w:r>
    </w:p>
    <w:p>
      <w:pPr>
        <w:pStyle w:val="Heading1"/>
      </w:pPr>
      <w:r>
        <w:rPr>
          <w:rFonts w:ascii="Times New Roman" w:hAnsi="Times New Roman" w:eastAsia="黑体"/>
          <w:sz w:val="28"/>
        </w:rPr>
        <w:t>三、实现目标</w:t>
      </w:r>
    </w:p>
    <w:p>
      <w:pPr>
        <w:pStyle w:val="ListBullet"/>
      </w:pPr>
      <w:r>
        <w:rPr>
          <w:rFonts w:ascii="Times New Roman" w:hAnsi="Times New Roman" w:eastAsia="宋体"/>
        </w:rPr>
        <w:t>完成开发板烧录、JTAG/UART 调试链路验证。</w:t>
      </w:r>
    </w:p>
    <w:p>
      <w:pPr>
        <w:pStyle w:val="ListBullet"/>
      </w:pPr>
      <w:r>
        <w:rPr>
          <w:rFonts w:ascii="Times New Roman" w:hAnsi="Times New Roman" w:eastAsia="宋体"/>
        </w:rPr>
        <w:t>建立 Gowin FPGA 工程，完成基础时钟、PLL 和管脚约束验证。</w:t>
      </w:r>
    </w:p>
    <w:p>
      <w:pPr>
        <w:pStyle w:val="ListBullet"/>
      </w:pPr>
      <w:r>
        <w:rPr>
          <w:rFonts w:ascii="Times New Roman" w:hAnsi="Times New Roman" w:eastAsia="宋体"/>
        </w:rPr>
        <w:t>实现 LVDS 接收或测试 pattern 采集链路原型。</w:t>
      </w:r>
    </w:p>
    <w:p>
      <w:pPr>
        <w:pStyle w:val="ListBullet"/>
      </w:pPr>
      <w:r>
        <w:rPr>
          <w:rFonts w:ascii="Times New Roman" w:hAnsi="Times New Roman" w:eastAsia="宋体"/>
        </w:rPr>
        <w:t>形成与自研 1Gbps USB3.0 雷达采集卡的接口映射和数据流路径记录。</w:t>
      </w:r>
    </w:p>
    <w:p>
      <w:pPr>
        <w:pStyle w:val="Heading1"/>
      </w:pPr>
      <w:r>
        <w:rPr>
          <w:rFonts w:ascii="Times New Roman" w:hAnsi="Times New Roman" w:eastAsia="黑体"/>
          <w:sz w:val="28"/>
        </w:rPr>
        <w:t>经费数量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Times New Roman" w:hAnsi="Times New Roman" w:eastAsia="黑体"/>
                <w:b/>
                <w:sz w:val="16"/>
              </w:rPr>
              <w:t>项目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黑体"/>
                <w:b/>
                <w:sz w:val="16"/>
              </w:rPr>
              <w:t>数量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黑体"/>
                <w:b/>
                <w:sz w:val="16"/>
              </w:rPr>
              <w:t>单价(CNY)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黑体"/>
                <w:b/>
                <w:sz w:val="16"/>
              </w:rPr>
              <w:t>小计(CNY)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黑体"/>
                <w:b/>
                <w:sz w:val="16"/>
              </w:rPr>
              <w:t>备注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宋体"/>
                <w:sz w:val="16"/>
              </w:rPr>
              <w:t>Tang Primer 25K FPGA 开发套件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6"/>
              </w:rPr>
              <w:t>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6"/>
              </w:rPr>
              <w:t>49.00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6"/>
              </w:rPr>
              <w:t>49.00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</w:rPr>
              <w:t>当前记录价，核心板 + 25K Dock 套件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宋体"/>
                <w:sz w:val="16"/>
              </w:rPr>
              <w:t>合计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6"/>
              </w:rPr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6"/>
              </w:rPr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6"/>
              </w:rPr>
              <w:t>49.00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</w:rPr>
              <w:t>实际以审批后订单及发票为准</w:t>
            </w:r>
          </w:p>
        </w:tc>
      </w:tr>
    </w:tbl>
    <w:p>
      <w:pPr>
        <w:pStyle w:val="Heading1"/>
      </w:pPr>
      <w:r>
        <w:rPr>
          <w:rFonts w:ascii="Times New Roman" w:hAnsi="Times New Roman" w:eastAsia="黑体"/>
          <w:sz w:val="28"/>
        </w:rPr>
        <w:t>四、取得效果或结果</w:t>
      </w:r>
    </w:p>
    <w:p>
      <w:pPr>
        <w:pStyle w:val="ListBullet"/>
      </w:pPr>
      <w:r>
        <w:rPr>
          <w:rFonts w:ascii="Times New Roman" w:hAnsi="Times New Roman" w:eastAsia="宋体"/>
        </w:rPr>
        <w:t>形成雷达 LVDS 原始数据采集前端逻辑验证平台。</w:t>
      </w:r>
    </w:p>
    <w:p>
      <w:pPr>
        <w:pStyle w:val="ListBullet"/>
      </w:pPr>
      <w:r>
        <w:rPr>
          <w:rFonts w:ascii="Times New Roman" w:hAnsi="Times New Roman" w:eastAsia="宋体"/>
        </w:rPr>
        <w:t>沉淀 FPGA 时序约束、LVDS 接收、缓存和测试 pattern 调试记录。</w:t>
      </w:r>
    </w:p>
    <w:p>
      <w:pPr>
        <w:pStyle w:val="ListBullet"/>
      </w:pPr>
      <w:r>
        <w:rPr>
          <w:rFonts w:ascii="Times New Roman" w:hAnsi="Times New Roman" w:eastAsia="宋体"/>
        </w:rPr>
        <w:t>支撑自研 1Gbps USB3.0 雷达采集卡开发，降低直接回板调试风险。</w:t>
      </w:r>
    </w:p>
    <w:p>
      <w:pPr>
        <w:pStyle w:val="Heading1"/>
      </w:pPr>
      <w:r>
        <w:rPr>
          <w:rFonts w:ascii="Times New Roman" w:hAnsi="Times New Roman" w:eastAsia="黑体"/>
          <w:sz w:val="28"/>
        </w:rPr>
        <w:t>五、其他</w:t>
      </w:r>
    </w:p>
    <w:p>
      <w:r>
        <w:rPr>
          <w:rFonts w:ascii="Times New Roman" w:hAnsi="Times New Roman" w:eastAsia="宋体"/>
        </w:rPr>
        <w:t>本次经费按当前记录价格测算，实际采购金额以审批后订单及发票为准。</w:t>
      </w:r>
    </w:p>
    <w:p>
      <w:r>
        <w:rPr>
          <w:rFonts w:ascii="Times New Roman" w:hAnsi="Times New Roman" w:eastAsia="宋体"/>
          <w:b/>
        </w:rPr>
        <w:t>图片凭证：</w:t>
      </w:r>
    </w:p>
    <w:p>
      <w:r>
        <w:rPr>
          <w:rFonts w:ascii="Times New Roman" w:hAnsi="Times New Roman" w:eastAsia="宋体"/>
          <w:b w:val="0"/>
        </w:rPr>
        <w:t>淘宝价格截图</w:t>
      </w:r>
    </w:p>
    <w:p>
      <w:r>
        <w:drawing>
          <wp:inline xmlns:a="http://schemas.openxmlformats.org/drawingml/2006/main" xmlns:pic="http://schemas.openxmlformats.org/drawingml/2006/picture">
            <wp:extent cx="5212080" cy="32575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obao-tang-primer-25k-pric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2575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Times New Roman" w:hAnsi="Times New Roman" w:eastAsia="宋体"/>
          <w:b w:val="0"/>
        </w:rPr>
        <w:t>核心板产品图</w:t>
      </w:r>
    </w:p>
    <w:p>
      <w:r>
        <w:drawing>
          <wp:inline xmlns:a="http://schemas.openxmlformats.org/drawingml/2006/main" xmlns:pic="http://schemas.openxmlformats.org/drawingml/2006/picture">
            <wp:extent cx="5212080" cy="399816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ng-primer-25k-core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9981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Times New Roman" w:hAnsi="Times New Roman" w:eastAsia="宋体"/>
          <w:b w:val="0"/>
        </w:rPr>
        <w:t>Dock 底板产品图</w:t>
      </w:r>
    </w:p>
    <w:p>
      <w:r>
        <w:drawing>
          <wp:inline xmlns:a="http://schemas.openxmlformats.org/drawingml/2006/main" xmlns:pic="http://schemas.openxmlformats.org/drawingml/2006/picture">
            <wp:extent cx="5212080" cy="379319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ng-primer-25k-dock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793199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黑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Times New Roman" w:hAnsi="Times New Roman" w:eastAsia="宋体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jpg"/><Relationship Id="rId1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