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eastAsia="黑体"/>
          <w:b/>
          <w:sz w:val="36"/>
        </w:rPr>
        <w:t>树莓派 SSD 采集计算套件采购</w:t>
      </w:r>
    </w:p>
    <w:p>
      <w:pPr>
        <w:spacing w:line="324" w:lineRule="auto" w:after="120"/>
        <w:ind w:firstLine="420"/>
      </w:pPr>
      <w:r>
        <w:rPr>
          <w:rFonts w:ascii="Times New Roman" w:hAnsi="Times New Roman" w:eastAsia="宋体"/>
          <w:b w:val="0"/>
          <w:sz w:val="24"/>
        </w:rPr>
        <w:t>申报日期：2026-05-25    申报状态：待提交</w:t>
      </w:r>
    </w:p>
    <w:p>
      <w:pPr>
        <w:pStyle w:val="Heading1"/>
        <w:spacing w:before="200" w:after="120"/>
      </w:pPr>
      <w:r>
        <w:rPr>
          <w:rFonts w:ascii="Times New Roman" w:hAnsi="Times New Roman" w:eastAsia="黑体"/>
          <w:b/>
          <w:sz w:val="28"/>
        </w:rPr>
        <w:t>一、需求分析</w:t>
      </w:r>
    </w:p>
    <w:p>
      <w:pPr>
        <w:spacing w:line="324" w:lineRule="auto" w:after="120"/>
        <w:ind w:firstLine="420"/>
      </w:pPr>
      <w:r>
        <w:rPr>
          <w:rFonts w:ascii="Times New Roman" w:hAnsi="Times New Roman" w:eastAsia="宋体"/>
          <w:b w:val="0"/>
          <w:sz w:val="24"/>
        </w:rPr>
        <w:t>雷达与心音、心电同步采集是实验室后续多模态生命体征研究的重要基础。该类实验不是单一传感器接入，而是多源设备在同一实验场景下持续输出数据，并要求采集端完成统一实验编号、统一时间戳记录、文件完整性校验、数据缓存、初步质量判断和归档管理。雷达端可能输出连续帧数据，心音和心电端需要保持稳定采样，多个采集进程之间还要避免相互抢占资源。若采集端能力不足，容易出现丢帧、写入阻塞、文件命名混乱、实验记录不一致等问题，后续数据清洗和论文实验都会受到影响。</w:t>
      </w:r>
    </w:p>
    <w:p>
      <w:pPr>
        <w:spacing w:line="324" w:lineRule="auto" w:after="120"/>
        <w:ind w:firstLine="420"/>
      </w:pPr>
      <w:r>
        <w:rPr>
          <w:rFonts w:ascii="Times New Roman" w:hAnsi="Times New Roman" w:eastAsia="宋体"/>
          <w:b w:val="0"/>
          <w:sz w:val="24"/>
        </w:rPr>
        <w:t>目前临时使用普通电脑或低规格开发板可以完成部分调试，但难以作为实验室长期复用的同步采集节点。普通电脑体积较大，接口和系统环境随使用人员变化明显，移动到床旁、实验台或样机联调现场时不够方便；低规格单板机通常依赖 SD 卡存储，长时间连续写入时存在速度波动和介质损耗，难以支撑多路数据同时缓存。采集端如果没有稳定供电、散热和高速本地存储，实验往往需要反复排查环境问题，实际消耗的是团队调试时间和数据质量。</w:t>
      </w:r>
    </w:p>
    <w:p>
      <w:pPr>
        <w:spacing w:line="324" w:lineRule="auto" w:after="120"/>
        <w:ind w:firstLine="420"/>
      </w:pPr>
      <w:r>
        <w:rPr>
          <w:rFonts w:ascii="Times New Roman" w:hAnsi="Times New Roman" w:eastAsia="宋体"/>
          <w:b w:val="0"/>
          <w:sz w:val="24"/>
        </w:rPr>
        <w:t>拟采购的 Raspberry Pi 5 16GB PCIe M.2 SSD 套餐可形成一台便携迷你的 Linux 同步采集高性能终端。16GB 内存为雷达采集进程、心音心电采集进程、数据队列、质量检查脚本、文件打包任务和远程管理服务同时运行提供余量；PCIe M.2 SSD 为连续采集提供本地高速缓存，减少 SD 卡写入瓶颈；主动散热器和 PD 电源提升长时间运行稳定性；Micro-HDMI 线和网线使现场调试、远程管理和有线传输更完整。虽然该套餐价格高于普通开发板，但它采购的不是一块单板，而是一套可以直接作为实验室同步采集计算端使用的完整终端。</w:t>
      </w:r>
    </w:p>
    <w:p>
      <w:pPr>
        <w:spacing w:line="324" w:lineRule="auto" w:after="120"/>
        <w:ind w:firstLine="420"/>
      </w:pPr>
      <w:r>
        <w:rPr>
          <w:rFonts w:ascii="Times New Roman" w:hAnsi="Times New Roman" w:eastAsia="宋体"/>
          <w:b w:val="0"/>
          <w:sz w:val="24"/>
        </w:rPr>
        <w:t>从实验室建设角度看，采购该终端能够把采集环境固化下来，形成统一的数据目录、采集脚本、质量检查和归档流程。后续雷达生命体征实验、心音心电同步实验、自研板卡联调和样机展示均可复用该节点，减少每次实验重新搭建系统、重新配置依赖和重新整理数据的成本。它的价值主要体现在长期稳定采集、便携部署、高性能边缘缓存和团队级复用能力，而不是一次性开发板调试。</w:t>
      </w:r>
    </w:p>
    <w:p>
      <w:pPr>
        <w:pStyle w:val="Heading1"/>
        <w:spacing w:before="200" w:after="120"/>
      </w:pPr>
      <w:r>
        <w:rPr>
          <w:rFonts w:ascii="Times New Roman" w:hAnsi="Times New Roman" w:eastAsia="黑体"/>
          <w:b/>
          <w:sz w:val="28"/>
        </w:rPr>
        <w:t>二、目的用途</w:t>
      </w:r>
    </w:p>
    <w:p>
      <w:pPr>
        <w:spacing w:line="324" w:lineRule="auto" w:after="120"/>
        <w:ind w:firstLine="420"/>
      </w:pPr>
      <w:r>
        <w:rPr>
          <w:rFonts w:ascii="Times New Roman" w:hAnsi="Times New Roman" w:eastAsia="宋体"/>
          <w:b w:val="0"/>
          <w:sz w:val="24"/>
        </w:rPr>
        <w:t>本项目用于购置树莓派 5 Linux 开发板 SSD 套件，建设一套面向雷达与心音、心电同步采集的便携式高性能计算终端。该终端放置在实验现场，负责连接雷达采集设备、心音采集设备和心电采集设备，统一执行采集脚本、记录实验编号、写入时间戳、缓存原始数据，并在采集结束后完成初步文件检查和归档打包。</w:t>
      </w:r>
    </w:p>
    <w:p>
      <w:pPr>
        <w:spacing w:line="324" w:lineRule="auto" w:after="120"/>
        <w:ind w:firstLine="420"/>
      </w:pPr>
      <w:r>
        <w:rPr>
          <w:rFonts w:ascii="Times New Roman" w:hAnsi="Times New Roman" w:eastAsia="宋体"/>
          <w:b w:val="0"/>
          <w:sz w:val="24"/>
        </w:rPr>
        <w:t>该终端的核心用途是承担“同步采集并计算”的边缘节点角色。采集过程中，雷达数据和生理电信号数据先写入本地 SSD，避免网络波动或上位机临时故障影响原始数据保存；采集完成后，终端可以立即运行轻量预处理、片段切分、质量标记和文件校验脚本，快速判断本次实验是否有效。这样可以把问题尽早暴露在实验现场，减少回到办公室后才发现数据缺失或格式错误的情况。</w:t>
      </w:r>
    </w:p>
    <w:p>
      <w:pPr>
        <w:spacing w:line="324" w:lineRule="auto" w:after="120"/>
        <w:ind w:firstLine="420"/>
      </w:pPr>
      <w:r>
        <w:rPr>
          <w:rFonts w:ascii="Times New Roman" w:hAnsi="Times New Roman" w:eastAsia="宋体"/>
          <w:b w:val="0"/>
          <w:sz w:val="24"/>
        </w:rPr>
        <w:t>树莓派生态成熟，Linux 软件栈稳定，便于部署 Python、串口、声卡、网络传输、数据同步、远程管理和边缘计算工具。该套件具备小体积、低功耗、可移动、易复用的特点，适合在床旁测试、桌面样机联调、雷达板卡调试和多模态数据集采集之间切换。采购后不仅服务单次实验，也可成为实验室长期保留的通用采集计算平台。</w:t>
      </w:r>
    </w:p>
    <w:p>
      <w:pPr>
        <w:spacing w:line="324" w:lineRule="auto" w:after="120"/>
        <w:ind w:firstLine="420"/>
      </w:pPr>
      <w:r>
        <w:rPr>
          <w:rFonts w:ascii="Times New Roman" w:hAnsi="Times New Roman" w:eastAsia="宋体"/>
          <w:b w:val="0"/>
          <w:sz w:val="24"/>
        </w:rPr>
        <w:t>该终端还可作为实验室数据采集规范的载体。通过在终端内固定目录结构、采集脚本入口、参数记录方式、数据校验方式和远程访问方式，不同成员可以在同一平台上完成相近流程，降低交接成本。对于导师审核和项目验收而言，采购结果不只是设备到位，而是形成一个可持续使用的高性能 Linux 同步采集端。</w:t>
      </w:r>
    </w:p>
    <w:p>
      <w:pPr>
        <w:spacing w:line="324" w:lineRule="auto" w:after="120"/>
        <w:ind w:firstLine="420"/>
      </w:pPr>
      <w:r>
        <w:rPr>
          <w:rFonts w:ascii="Times New Roman" w:hAnsi="Times New Roman" w:eastAsia="宋体"/>
          <w:b w:val="0"/>
          <w:sz w:val="24"/>
        </w:rPr>
        <w:t>从团队协作角度看，固定的 Linux 采集计算终端有利于形成可交付的实验室资产。后续不同成员使用同一套终端配置、同一套脚本入口和同一套数据目录规范，能够减少环境差异导致的重复排查。对于导师而言，该采购对应的是一套能够长期支撑课题组实验的便携高性能终端：它可以服务雷达生命体征数据集建设，也可以服务心音心电同步采集，还可以服务自研采集板卡联调和外场临时测试。</w:t>
      </w:r>
    </w:p>
    <w:p>
      <w:pPr>
        <w:spacing w:line="324" w:lineRule="auto" w:after="120"/>
        <w:ind w:firstLine="420"/>
      </w:pPr>
      <w:r>
        <w:rPr>
          <w:rFonts w:ascii="Times New Roman" w:hAnsi="Times New Roman" w:eastAsia="宋体"/>
          <w:b w:val="0"/>
          <w:sz w:val="24"/>
        </w:rPr>
        <w:t>高性能配置对于同步采集尤其重要。雷达数据通常具有连续帧结构，心音和心电数据又对时间连续性敏感，任何一路数据阻塞都会影响多模态对齐。16GB 内存能够为采集队列和缓存区保留足够空间，使多个采集进程、远程管理服务和轻量计算脚本并行运行时仍有余量；SSD 则承担持续写入和临时缓存，使原始数据先落地保存，再进行整理和传输。该配置能够把采集风险从“边采边担心写入是否跟得上”转变为“现场先稳定保存，后续再统一处理”。</w:t>
      </w:r>
    </w:p>
    <w:p>
      <w:pPr>
        <w:spacing w:line="324" w:lineRule="auto" w:after="120"/>
        <w:ind w:firstLine="420"/>
      </w:pPr>
      <w:r>
        <w:rPr>
          <w:rFonts w:ascii="Times New Roman" w:hAnsi="Times New Roman" w:eastAsia="宋体"/>
          <w:b w:val="0"/>
          <w:sz w:val="24"/>
        </w:rPr>
        <w:t>在具体实验链路中，该终端可承担采集前参数加载、采集中状态记录和采集后数据整理三个阶段的工作。采集前，终端保存采样率、实验编号、被试编号、设备端口和传感器组合等参数，减少手工记录遗漏；采集中，终端持续接收雷达、心音、心电数据并写入 SSD，同时记录进程状态和文件大小变化；采集后，终端执行文件校验、片段切分和初步质量标记，帮助实验人员快速判断是否需要补采。通过这种方式，硬件采购直接服务于实验流程稳定性和数据可用性。</w:t>
      </w:r>
    </w:p>
    <w:p>
      <w:pPr>
        <w:pStyle w:val="Heading1"/>
        <w:spacing w:before="200" w:after="120"/>
      </w:pPr>
      <w:r>
        <w:rPr>
          <w:rFonts w:ascii="Times New Roman" w:hAnsi="Times New Roman" w:eastAsia="黑体"/>
          <w:b/>
          <w:sz w:val="28"/>
        </w:rPr>
        <w:t>三、实现目标</w:t>
      </w:r>
    </w:p>
    <w:p>
      <w:pPr>
        <w:pStyle w:val="ListBullet"/>
        <w:spacing w:line="312" w:lineRule="auto" w:after="80"/>
      </w:pPr>
      <w:r>
        <w:rPr>
          <w:rFonts w:ascii="Times New Roman" w:hAnsi="Times New Roman" w:eastAsia="宋体"/>
          <w:b w:val="0"/>
          <w:sz w:val="24"/>
        </w:rPr>
        <w:t>形成一套便携迷你的 Linux 同步采集高性能终端，能够统一管理雷达、心音、心电多源数据采集任务。</w:t>
      </w:r>
    </w:p>
    <w:p>
      <w:pPr>
        <w:pStyle w:val="ListBullet"/>
        <w:spacing w:line="312" w:lineRule="auto" w:after="80"/>
      </w:pPr>
      <w:r>
        <w:rPr>
          <w:rFonts w:ascii="Times New Roman" w:hAnsi="Times New Roman" w:eastAsia="宋体"/>
          <w:b w:val="0"/>
          <w:sz w:val="24"/>
        </w:rPr>
        <w:t>实现雷达数据与心音、心电数据的同步采集、统一时间戳记录、统一实验编号归档和现场质量复核。</w:t>
      </w:r>
    </w:p>
    <w:p>
      <w:pPr>
        <w:pStyle w:val="ListBullet"/>
        <w:spacing w:line="312" w:lineRule="auto" w:after="80"/>
      </w:pPr>
      <w:r>
        <w:rPr>
          <w:rFonts w:ascii="Times New Roman" w:hAnsi="Times New Roman" w:eastAsia="宋体"/>
          <w:b w:val="0"/>
          <w:sz w:val="24"/>
        </w:rPr>
        <w:t>实现采集数据写入 PCIe M.2 SSD 本地高速缓存，并完成数据完整性校验、片段切分、质量标记和异常文件提示。</w:t>
      </w:r>
    </w:p>
    <w:p>
      <w:pPr>
        <w:pStyle w:val="ListBullet"/>
        <w:spacing w:line="312" w:lineRule="auto" w:after="80"/>
      </w:pPr>
      <w:r>
        <w:rPr>
          <w:rFonts w:ascii="Times New Roman" w:hAnsi="Times New Roman" w:eastAsia="宋体"/>
          <w:b w:val="0"/>
          <w:sz w:val="24"/>
        </w:rPr>
        <w:t>实现采集端边缘计算能力，用于轻量预处理、数据压缩打包、远程管理、快速预览和实验结果初步复核。</w:t>
      </w:r>
    </w:p>
    <w:p>
      <w:pPr>
        <w:pStyle w:val="ListBullet"/>
        <w:spacing w:line="312" w:lineRule="auto" w:after="80"/>
      </w:pPr>
      <w:r>
        <w:rPr>
          <w:rFonts w:ascii="Times New Roman" w:hAnsi="Times New Roman" w:eastAsia="宋体"/>
          <w:b w:val="0"/>
          <w:sz w:val="24"/>
        </w:rPr>
        <w:t>形成实验室可复用的采集脚本组织方式、数据目录规范、终端配置方案和样机联调流程。</w:t>
      </w:r>
    </w:p>
    <w:p>
      <w:pPr>
        <w:pStyle w:val="ListBullet"/>
        <w:spacing w:line="312" w:lineRule="auto" w:after="80"/>
      </w:pPr>
      <w:r>
        <w:rPr>
          <w:rFonts w:ascii="Times New Roman" w:hAnsi="Times New Roman" w:eastAsia="宋体"/>
          <w:b w:val="0"/>
          <w:sz w:val="24"/>
        </w:rPr>
        <w:t>支撑雷达生命体征、心音、心电多模态实验在不同实验台位之间快速迁移，使采集计算端具备高性能、可移动和可维护特征。</w:t>
      </w:r>
    </w:p>
    <w:p>
      <w:pPr>
        <w:spacing w:line="324" w:lineRule="auto" w:after="120"/>
        <w:ind w:firstLine="420"/>
      </w:pPr>
      <w:r>
        <w:rPr>
          <w:rFonts w:ascii="Times New Roman" w:hAnsi="Times New Roman" w:eastAsia="宋体"/>
          <w:b w:val="0"/>
          <w:sz w:val="24"/>
        </w:rPr>
        <w:t>上述目标强调同步采集与计算能力。采购完成后，终端应能作为实验室采集链路中的稳定节点，围绕数据接入、缓存、计算、归档和远程管理形成可重复执行的工作流。</w:t>
      </w:r>
    </w:p>
    <w:p>
      <w:pPr>
        <w:pStyle w:val="Heading1"/>
        <w:spacing w:before="200" w:after="120"/>
      </w:pPr>
      <w:r>
        <w:rPr>
          <w:rFonts w:ascii="Times New Roman" w:hAnsi="Times New Roman" w:eastAsia="黑体"/>
          <w:b/>
          <w:sz w:val="28"/>
        </w:rPr>
        <w:t>经费数量</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836"/>
            <w:vAlign w:val="center"/>
            <w:shd w:fill="D9EAF7"/>
          </w:tcPr>
          <w:p>
            <w:pPr>
              <w:spacing w:line="288" w:lineRule="auto" w:after="0"/>
              <w:jc w:val="center"/>
            </w:pPr>
            <w:r/>
            <w:r>
              <w:rPr>
                <w:rFonts w:ascii="Times New Roman" w:hAnsi="Times New Roman" w:eastAsia="宋体"/>
                <w:b/>
                <w:sz w:val="21"/>
              </w:rPr>
              <w:t>项目</w:t>
            </w:r>
          </w:p>
        </w:tc>
        <w:tc>
          <w:tcPr>
            <w:tcW w:type="dxa" w:w="1836"/>
            <w:vAlign w:val="center"/>
            <w:shd w:fill="D9EAF7"/>
          </w:tcPr>
          <w:p>
            <w:pPr>
              <w:spacing w:line="288" w:lineRule="auto" w:after="0"/>
              <w:jc w:val="center"/>
            </w:pPr>
            <w:r/>
            <w:r>
              <w:rPr>
                <w:rFonts w:ascii="Times New Roman" w:hAnsi="Times New Roman" w:eastAsia="宋体"/>
                <w:b/>
                <w:sz w:val="21"/>
              </w:rPr>
              <w:t>数量</w:t>
            </w:r>
          </w:p>
        </w:tc>
        <w:tc>
          <w:tcPr>
            <w:tcW w:type="dxa" w:w="1836"/>
            <w:vAlign w:val="center"/>
            <w:shd w:fill="D9EAF7"/>
          </w:tcPr>
          <w:p>
            <w:pPr>
              <w:spacing w:line="288" w:lineRule="auto" w:after="0"/>
              <w:jc w:val="center"/>
            </w:pPr>
            <w:r/>
            <w:r>
              <w:rPr>
                <w:rFonts w:ascii="Times New Roman" w:hAnsi="Times New Roman" w:eastAsia="宋体"/>
                <w:b/>
                <w:sz w:val="21"/>
              </w:rPr>
              <w:t>单价(CNY)</w:t>
            </w:r>
          </w:p>
        </w:tc>
        <w:tc>
          <w:tcPr>
            <w:tcW w:type="dxa" w:w="1836"/>
            <w:vAlign w:val="center"/>
            <w:shd w:fill="D9EAF7"/>
          </w:tcPr>
          <w:p>
            <w:pPr>
              <w:spacing w:line="288" w:lineRule="auto" w:after="0"/>
              <w:jc w:val="center"/>
            </w:pPr>
            <w:r/>
            <w:r>
              <w:rPr>
                <w:rFonts w:ascii="Times New Roman" w:hAnsi="Times New Roman" w:eastAsia="宋体"/>
                <w:b/>
                <w:sz w:val="21"/>
              </w:rPr>
              <w:t>小计(CNY)</w:t>
            </w:r>
          </w:p>
        </w:tc>
        <w:tc>
          <w:tcPr>
            <w:tcW w:type="dxa" w:w="1836"/>
            <w:vAlign w:val="center"/>
            <w:shd w:fill="D9EAF7"/>
          </w:tcPr>
          <w:p>
            <w:pPr>
              <w:spacing w:line="288" w:lineRule="auto" w:after="0"/>
              <w:jc w:val="center"/>
            </w:pPr>
            <w:r/>
            <w:r>
              <w:rPr>
                <w:rFonts w:ascii="Times New Roman" w:hAnsi="Times New Roman" w:eastAsia="宋体"/>
                <w:b/>
                <w:sz w:val="20"/>
              </w:rPr>
              <w:t>备注</w:t>
            </w:r>
          </w:p>
        </w:tc>
      </w:tr>
      <w:tr>
        <w:tc>
          <w:tcPr>
            <w:tcW w:type="dxa" w:w="1836"/>
            <w:vAlign w:val="center"/>
          </w:tcPr>
          <w:p>
            <w:pPr>
              <w:spacing w:line="288" w:lineRule="auto" w:after="0"/>
            </w:pPr>
            <w:r/>
            <w:r>
              <w:rPr>
                <w:rFonts w:ascii="Times New Roman" w:hAnsi="Times New Roman" w:eastAsia="宋体"/>
                <w:b w:val="0"/>
                <w:sz w:val="21"/>
              </w:rPr>
              <w:t>Raspberry Pi 5 16GB PCIe M.2 SSD 套餐</w:t>
            </w:r>
          </w:p>
        </w:tc>
        <w:tc>
          <w:tcPr>
            <w:tcW w:type="dxa" w:w="1836"/>
            <w:vAlign w:val="center"/>
          </w:tcPr>
          <w:p>
            <w:pPr>
              <w:spacing w:line="288" w:lineRule="auto" w:after="0"/>
              <w:jc w:val="center"/>
            </w:pPr>
            <w:r/>
            <w:r>
              <w:rPr>
                <w:rFonts w:ascii="Times New Roman" w:hAnsi="Times New Roman" w:eastAsia="宋体"/>
                <w:b w:val="0"/>
                <w:sz w:val="21"/>
              </w:rPr>
              <w:t>1</w:t>
            </w:r>
          </w:p>
        </w:tc>
        <w:tc>
          <w:tcPr>
            <w:tcW w:type="dxa" w:w="1836"/>
            <w:vAlign w:val="center"/>
          </w:tcPr>
          <w:p>
            <w:pPr>
              <w:spacing w:line="288" w:lineRule="auto" w:after="0"/>
              <w:jc w:val="center"/>
            </w:pPr>
            <w:r/>
            <w:r>
              <w:rPr>
                <w:rFonts w:ascii="Times New Roman" w:hAnsi="Times New Roman" w:eastAsia="宋体"/>
                <w:b w:val="0"/>
                <w:sz w:val="21"/>
              </w:rPr>
              <w:t>2969.00</w:t>
            </w:r>
          </w:p>
        </w:tc>
        <w:tc>
          <w:tcPr>
            <w:tcW w:type="dxa" w:w="1836"/>
            <w:vAlign w:val="center"/>
          </w:tcPr>
          <w:p>
            <w:pPr>
              <w:spacing w:line="288" w:lineRule="auto" w:after="0"/>
              <w:jc w:val="center"/>
            </w:pPr>
            <w:r/>
            <w:r>
              <w:rPr>
                <w:rFonts w:ascii="Times New Roman" w:hAnsi="Times New Roman" w:eastAsia="宋体"/>
                <w:b w:val="0"/>
                <w:sz w:val="21"/>
              </w:rPr>
              <w:t>2969.00</w:t>
            </w:r>
          </w:p>
        </w:tc>
        <w:tc>
          <w:tcPr>
            <w:tcW w:type="dxa" w:w="1836"/>
            <w:vAlign w:val="center"/>
          </w:tcPr>
          <w:p>
            <w:pPr>
              <w:spacing w:line="288" w:lineRule="auto" w:after="0"/>
            </w:pPr>
            <w:r/>
            <w:r>
              <w:rPr>
                <w:rFonts w:ascii="Times New Roman" w:hAnsi="Times New Roman" w:eastAsia="宋体"/>
                <w:b w:val="0"/>
                <w:sz w:val="20"/>
              </w:rPr>
              <w:t>含 256GB SSD、PD 电源、PCIe M.2 扩展板、主动散热器、Micro-HDMI 线和网线</w:t>
            </w:r>
          </w:p>
        </w:tc>
      </w:tr>
      <w:tr>
        <w:tc>
          <w:tcPr>
            <w:tcW w:type="dxa" w:w="1836"/>
            <w:vAlign w:val="center"/>
          </w:tcPr>
          <w:p>
            <w:pPr>
              <w:spacing w:line="288" w:lineRule="auto" w:after="0"/>
            </w:pPr>
            <w:r/>
            <w:r>
              <w:rPr>
                <w:rFonts w:ascii="Times New Roman" w:hAnsi="Times New Roman" w:eastAsia="宋体"/>
                <w:b w:val="0"/>
                <w:sz w:val="21"/>
              </w:rPr>
              <w:t>合计</w:t>
            </w:r>
          </w:p>
        </w:tc>
        <w:tc>
          <w:tcPr>
            <w:tcW w:type="dxa" w:w="1836"/>
            <w:vAlign w:val="center"/>
          </w:tcPr>
          <w:p>
            <w:pPr>
              <w:spacing w:line="288" w:lineRule="auto" w:after="0"/>
              <w:jc w:val="center"/>
            </w:pPr>
            <w:r/>
            <w:r>
              <w:rPr>
                <w:rFonts w:ascii="Times New Roman" w:hAnsi="Times New Roman" w:eastAsia="宋体"/>
                <w:b w:val="0"/>
                <w:sz w:val="21"/>
              </w:rPr>
            </w:r>
          </w:p>
        </w:tc>
        <w:tc>
          <w:tcPr>
            <w:tcW w:type="dxa" w:w="1836"/>
            <w:vAlign w:val="center"/>
          </w:tcPr>
          <w:p>
            <w:pPr>
              <w:spacing w:line="288" w:lineRule="auto" w:after="0"/>
              <w:jc w:val="center"/>
            </w:pPr>
            <w:r/>
            <w:r>
              <w:rPr>
                <w:rFonts w:ascii="Times New Roman" w:hAnsi="Times New Roman" w:eastAsia="宋体"/>
                <w:b w:val="0"/>
                <w:sz w:val="21"/>
              </w:rPr>
            </w:r>
          </w:p>
        </w:tc>
        <w:tc>
          <w:tcPr>
            <w:tcW w:type="dxa" w:w="1836"/>
            <w:vAlign w:val="center"/>
          </w:tcPr>
          <w:p>
            <w:pPr>
              <w:spacing w:line="288" w:lineRule="auto" w:after="0"/>
              <w:jc w:val="center"/>
            </w:pPr>
            <w:r/>
            <w:r>
              <w:rPr>
                <w:rFonts w:ascii="Times New Roman" w:hAnsi="Times New Roman" w:eastAsia="宋体"/>
                <w:b w:val="0"/>
                <w:sz w:val="21"/>
              </w:rPr>
              <w:t>2969.00</w:t>
            </w:r>
          </w:p>
        </w:tc>
        <w:tc>
          <w:tcPr>
            <w:tcW w:type="dxa" w:w="1836"/>
            <w:vAlign w:val="center"/>
          </w:tcPr>
          <w:p>
            <w:pPr>
              <w:spacing w:line="288" w:lineRule="auto" w:after="0"/>
            </w:pPr>
            <w:r/>
            <w:r>
              <w:rPr>
                <w:rFonts w:ascii="Times New Roman" w:hAnsi="Times New Roman" w:eastAsia="宋体"/>
                <w:b w:val="0"/>
                <w:sz w:val="20"/>
              </w:rPr>
              <w:t>申报金额</w:t>
            </w:r>
          </w:p>
        </w:tc>
      </w:tr>
    </w:tbl>
    <w:p/>
    <w:p>
      <w:pPr>
        <w:spacing w:line="324" w:lineRule="auto" w:after="120"/>
        <w:ind w:firstLine="420"/>
      </w:pPr>
      <w:r>
        <w:rPr>
          <w:rFonts w:ascii="Times New Roman" w:hAnsi="Times New Roman" w:eastAsia="宋体"/>
          <w:b w:val="0"/>
          <w:sz w:val="24"/>
        </w:rPr>
        <w:t>本次经费主要用于购买完整的 Raspberry Pi 5 16GB PCIe M.2 SSD 套餐。该套餐包含高内存主板、SSD、本地高速存储扩展、主动散热、PD 供电和必要线材，能够直接组成便携式同步采集计算端。与只购买裸板相比，完整套餐减少了后续分散采购和兼容性排查，也更符合实验室对稳定交付和长期复用的要求。</w:t>
      </w:r>
    </w:p>
    <w:p>
      <w:pPr>
        <w:pStyle w:val="Heading1"/>
        <w:spacing w:before="200" w:after="120"/>
      </w:pPr>
      <w:r>
        <w:rPr>
          <w:rFonts w:ascii="Times New Roman" w:hAnsi="Times New Roman" w:eastAsia="黑体"/>
          <w:b/>
          <w:sz w:val="28"/>
        </w:rPr>
        <w:t>四、取得效果或结果</w:t>
      </w:r>
    </w:p>
    <w:p>
      <w:pPr>
        <w:pStyle w:val="ListBullet"/>
        <w:spacing w:line="312" w:lineRule="auto" w:after="80"/>
      </w:pPr>
      <w:r>
        <w:rPr>
          <w:rFonts w:ascii="Times New Roman" w:hAnsi="Times New Roman" w:eastAsia="宋体"/>
          <w:b w:val="0"/>
          <w:sz w:val="24"/>
        </w:rPr>
        <w:t>实验室拥有一套便携迷你的 Linux 同步采集高性能终端，可用于雷达与心音、心电多模态数据采集。</w:t>
      </w:r>
    </w:p>
    <w:p>
      <w:pPr>
        <w:pStyle w:val="ListBullet"/>
        <w:spacing w:line="312" w:lineRule="auto" w:after="80"/>
      </w:pPr>
      <w:r>
        <w:rPr>
          <w:rFonts w:ascii="Times New Roman" w:hAnsi="Times New Roman" w:eastAsia="宋体"/>
          <w:b w:val="0"/>
          <w:sz w:val="24"/>
        </w:rPr>
        <w:t>形成多源同步采集、SSD 高速缓存、边缘质量检查和数据归档的一体化流程，减少临时上位机配置带来的不确定性。</w:t>
      </w:r>
    </w:p>
    <w:p>
      <w:pPr>
        <w:pStyle w:val="ListBullet"/>
        <w:spacing w:line="312" w:lineRule="auto" w:after="80"/>
      </w:pPr>
      <w:r>
        <w:rPr>
          <w:rFonts w:ascii="Times New Roman" w:hAnsi="Times New Roman" w:eastAsia="宋体"/>
          <w:b w:val="0"/>
          <w:sz w:val="24"/>
        </w:rPr>
        <w:t>形成可复用的数据目录、实验编号、时间戳记录和文件校验规范，支撑后续数据集构建、论文实验和项目验收。</w:t>
      </w:r>
    </w:p>
    <w:p>
      <w:pPr>
        <w:pStyle w:val="ListBullet"/>
        <w:spacing w:line="312" w:lineRule="auto" w:after="80"/>
      </w:pPr>
      <w:r>
        <w:rPr>
          <w:rFonts w:ascii="Times New Roman" w:hAnsi="Times New Roman" w:eastAsia="宋体"/>
          <w:b w:val="0"/>
          <w:sz w:val="24"/>
        </w:rPr>
        <w:t>支撑雷达生命体征、心音、心电等多模态实验样机联调，使采集端具备更高稳定性、更强计算能力和可移动部署能力。</w:t>
      </w:r>
    </w:p>
    <w:p>
      <w:pPr>
        <w:pStyle w:val="ListBullet"/>
        <w:spacing w:line="312" w:lineRule="auto" w:after="80"/>
      </w:pPr>
      <w:r>
        <w:rPr>
          <w:rFonts w:ascii="Times New Roman" w:hAnsi="Times New Roman" w:eastAsia="宋体"/>
          <w:b w:val="0"/>
          <w:sz w:val="24"/>
        </w:rPr>
        <w:t>为后续算法验证、专利材料整理和实验室同步采集平台建设提供高性能边缘计算节点。</w:t>
      </w:r>
    </w:p>
    <w:p>
      <w:pPr>
        <w:pStyle w:val="ListBullet"/>
        <w:spacing w:line="312" w:lineRule="auto" w:after="80"/>
      </w:pPr>
      <w:r>
        <w:rPr>
          <w:rFonts w:ascii="Times New Roman" w:hAnsi="Times New Roman" w:eastAsia="宋体"/>
          <w:b w:val="0"/>
          <w:sz w:val="24"/>
        </w:rPr>
        <w:t>减少每次实验临时搭建电脑环境、拷贝脚本、整理目录和排查存储问题的重复工作，使团队能够把更多时间投入到数据质量和实验设计。</w:t>
      </w:r>
    </w:p>
    <w:p>
      <w:pPr>
        <w:spacing w:line="324" w:lineRule="auto" w:after="120"/>
        <w:ind w:firstLine="420"/>
      </w:pPr>
      <w:r>
        <w:rPr>
          <w:rFonts w:ascii="Times New Roman" w:hAnsi="Times New Roman" w:eastAsia="宋体"/>
          <w:b w:val="0"/>
          <w:sz w:val="24"/>
        </w:rPr>
        <w:t>预期形成的结果是一台真正可投入实验室使用的便携式同步采集计算终端，而不是零散开发板。它能够在实验现场完成数据接入、本地高速缓存、边缘计算和归档管理，并沉淀为团队长期使用的硬件与软件环境。</w:t>
      </w:r>
    </w:p>
    <w:p>
      <w:pPr>
        <w:pStyle w:val="Heading1"/>
        <w:spacing w:before="200" w:after="120"/>
      </w:pPr>
      <w:r>
        <w:rPr>
          <w:rFonts w:ascii="Times New Roman" w:hAnsi="Times New Roman" w:eastAsia="黑体"/>
          <w:b/>
          <w:sz w:val="28"/>
        </w:rPr>
        <w:t>五、其他</w:t>
      </w:r>
    </w:p>
    <w:p>
      <w:pPr>
        <w:spacing w:line="324" w:lineRule="auto" w:after="120"/>
        <w:ind w:firstLine="420"/>
      </w:pPr>
      <w:r>
        <w:rPr>
          <w:rFonts w:ascii="Times New Roman" w:hAnsi="Times New Roman" w:eastAsia="宋体"/>
          <w:b w:val="0"/>
          <w:sz w:val="24"/>
        </w:rPr>
        <w:t>价格资料来自淘宝桌面版截图记录，截图显示选定 PCIe M.2 SSD 套餐、Pi5/16GB 规格，店铺优惠后价格为 2969.00 元。该价格对应的是带 SSD、扩展板、主动散热、PD 电源和线材的完整套件，适合作为实验室同步采集终端整体采购。</w:t>
      </w:r>
    </w:p>
    <w:p>
      <w:pPr>
        <w:spacing w:line="324" w:lineRule="auto" w:after="120"/>
        <w:ind w:firstLine="420"/>
      </w:pPr>
      <w:r>
        <w:rPr>
          <w:rFonts w:ascii="Times New Roman" w:hAnsi="Times New Roman" w:eastAsia="宋体"/>
          <w:b w:val="0"/>
          <w:sz w:val="24"/>
        </w:rPr>
        <w:t>本申报书已嵌入价格截图和商品材料图，用于说明采购对象、选定规格和预算金额；后续可按导师要求补充到货照片、终端配置记录、采集脚本目录和一次联调记录。</w:t>
      </w:r>
    </w:p>
    <w:p>
      <w:pPr>
        <w:spacing w:line="324" w:lineRule="auto" w:after="120"/>
        <w:jc w:val="center"/>
      </w:pPr>
      <w:r>
        <w:rPr>
          <w:rFonts w:ascii="Times New Roman" w:hAnsi="Times New Roman" w:eastAsia="宋体"/>
          <w:b w:val="0"/>
          <w:sz w:val="21"/>
        </w:rPr>
        <w:t>图 1  树莓派 5 PCIe M.2 SSD 套餐价格截图</w:t>
      </w:r>
    </w:p>
    <w:p>
      <w:pPr>
        <w:jc w:val="center"/>
      </w:pPr>
      <w:r>
        <w:drawing>
          <wp:inline xmlns:a="http://schemas.openxmlformats.org/drawingml/2006/main" xmlns:pic="http://schemas.openxmlformats.org/drawingml/2006/picture">
            <wp:extent cx="4860000" cy="2642625"/>
            <wp:docPr id="1" name="Picture 1"/>
            <wp:cNvGraphicFramePr>
              <a:graphicFrameLocks noChangeAspect="1"/>
            </wp:cNvGraphicFramePr>
            <a:graphic>
              <a:graphicData uri="http://schemas.openxmlformats.org/drawingml/2006/picture">
                <pic:pic>
                  <pic:nvPicPr>
                    <pic:cNvPr id="0" name="taobao-raspberry-pi5-ssd-kit.png"/>
                    <pic:cNvPicPr/>
                  </pic:nvPicPr>
                  <pic:blipFill>
                    <a:blip r:embed="rId9"/>
                    <a:stretch>
                      <a:fillRect/>
                    </a:stretch>
                  </pic:blipFill>
                  <pic:spPr>
                    <a:xfrm>
                      <a:off x="0" y="0"/>
                      <a:ext cx="4860000" cy="2642625"/>
                    </a:xfrm>
                    <a:prstGeom prst="rect"/>
                  </pic:spPr>
                </pic:pic>
              </a:graphicData>
            </a:graphic>
          </wp:inline>
        </w:drawing>
      </w:r>
    </w:p>
    <w:sectPr w:rsidR="00FC693F" w:rsidRPr="0006063C" w:rsidSect="00034616">
      <w:pgSz w:w="12240" w:h="15840"/>
      <w:pgMar w:top="1361" w:right="1531" w:bottom="136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