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Tang Primer 25K 雷达 LVDS 采集 FPGA 套件采购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 LVDS 原始数据采集涉及高速并行数据、帧同步、时序约束和缓存链路，直接在自研采集卡上调试风险较高。需要一套低成本 FPGA 开发板先验证 LVDS 接收、解串和测试向量逻辑，为自研 1Gbps USB3.0 雷达采集卡降低调试风险。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采购 Tang Primer 25K FPGA 开发套件，用于雷达 LVDS 原始数据采集前端验证。FPGA 用于实现 LVDS 接收、帧同步、解串、缓冲、测试 pattern 生成和错误计数，Dock 底板用于快速接线、烧录和调试。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完成开发板烧录、JTAG/UART 调试链路验证。</w:t>
      </w:r>
    </w:p>
    <w:p>
      <w:pPr>
        <w:pStyle w:val="ListBullet"/>
      </w:pPr>
      <w:r>
        <w:rPr>
          <w:rFonts w:ascii="Times New Roman" w:hAnsi="Times New Roman" w:eastAsia="宋体"/>
        </w:rPr>
        <w:t>建立 Gowin FPGA 工程，完成基础时钟、PLL 和管脚约束验证。</w:t>
      </w:r>
    </w:p>
    <w:p>
      <w:pPr>
        <w:pStyle w:val="ListBullet"/>
      </w:pPr>
      <w:r>
        <w:rPr>
          <w:rFonts w:ascii="Times New Roman" w:hAnsi="Times New Roman" w:eastAsia="宋体"/>
        </w:rPr>
        <w:t>实现 LVDS 接收或测试 pattern 采集链路原型。</w:t>
      </w:r>
    </w:p>
    <w:p>
      <w:pPr>
        <w:pStyle w:val="ListBullet"/>
      </w:pPr>
      <w:r>
        <w:rPr>
          <w:rFonts w:ascii="Times New Roman" w:hAnsi="Times New Roman" w:eastAsia="宋体"/>
        </w:rPr>
        <w:t>形成与自研 1Gbps USB3.0 雷达采集卡的接口映射和数据流路径记录。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Tang Primer 25K FPGA 开发套件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49.00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49.00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淘宝桌面版搜索截图识别价格，核心板 + 25K Dock 套件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49.00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形成雷达 LVDS 原始数据采集前端逻辑验证平台。</w:t>
      </w:r>
    </w:p>
    <w:p>
      <w:pPr>
        <w:pStyle w:val="ListBullet"/>
      </w:pPr>
      <w:r>
        <w:rPr>
          <w:rFonts w:ascii="Times New Roman" w:hAnsi="Times New Roman" w:eastAsia="宋体"/>
        </w:rPr>
        <w:t>沉淀 FPGA 时序约束、LVDS 接收、缓存和测试 pattern 调试记录。</w:t>
      </w:r>
    </w:p>
    <w:p>
      <w:pPr>
        <w:pStyle w:val="ListBullet"/>
      </w:pPr>
      <w:r>
        <w:rPr>
          <w:rFonts w:ascii="Times New Roman" w:hAnsi="Times New Roman" w:eastAsia="宋体"/>
        </w:rPr>
        <w:t>支撑自研 1Gbps USB3.0 雷达采集卡开发，降低直接回板调试风险。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价格来自淘宝桌面版截图识别，实际支出以下单页和订单记录为准。采购后补充订单截图、到货照片、Gowin 工程记录和一次 LVDS/测试 pattern 验证记录。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淘宝价格截图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3257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tang-primer-25k-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核心板产品图</w:t>
      </w:r>
    </w:p>
    <w:p>
      <w:r>
        <w:drawing>
          <wp:inline xmlns:a="http://schemas.openxmlformats.org/drawingml/2006/main" xmlns:pic="http://schemas.openxmlformats.org/drawingml/2006/picture">
            <wp:extent cx="5212080" cy="3998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co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9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Dock 底板产品图</w:t>
      </w:r>
    </w:p>
    <w:p>
      <w:r>
        <w:drawing>
          <wp:inline xmlns:a="http://schemas.openxmlformats.org/drawingml/2006/main" xmlns:pic="http://schemas.openxmlformats.org/drawingml/2006/picture">
            <wp:extent cx="5212080" cy="3793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dock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931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