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students need to submit a single .py file for an assignment. In case of multiple tasks in an assignment, you will comment out one task and show the other in a single py file. You need to rename the single py file for submission into ID_name_assignmentNo.py (ex. 17003456_md x_01.py) and 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Video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red) and this transition should take place within a second while the transition cycle goes on. [Think how you can easily implement this]. Clicking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again will bring back the scenario in the original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Video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U_Vm2WS7cZbUmMpYc1J9y-VUDo3MHpR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BIXDsMvD3jsTF0CakIIbo_dOhNce2N5C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UxNXAmWKuEWmxS3xnJ8wQm8xQ==">CgMxLjA4AHIhMUNBdHVnNFZJVEhfZGZBanlQblhLaWlVak1na3RWS0Vw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