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Calibri" w:cs="Calibri" w:eastAsia="Calibri" w:hAnsi="Calibri"/>
          <w:b/>
          <w:bCs/>
          <w:color w:val="B8963A"/>
          <w:spacing w:val="60"/>
          <w:sz w:val="20"/>
          <w:szCs w:val="20"/>
        </w:rPr>
        <w:t xml:space="preserve">KASZUBSKA OSADA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A3A2A"/>
          <w:sz w:val="48"/>
          <w:szCs w:val="48"/>
        </w:rPr>
        <w:t xml:space="preserve">Podsumowanie zrealizowanych usług</w:t>
      </w:r>
    </w:p>
    <w:p>
      <w:pPr>
        <w:spacing w:after="240"/>
      </w:pPr>
      <w:r>
        <w:rPr>
          <w:rFonts w:ascii="Calibri" w:cs="Calibri" w:eastAsia="Calibri" w:hAnsi="Calibri"/>
          <w:color w:val="5A6B60"/>
          <w:sz w:val="21"/>
          <w:szCs w:val="21"/>
        </w:rPr>
        <w:t xml:space="preserve">Strona sprzedażowa · automatyzacja leadów · analityka · kampanie Meta i Google · obsługa klientów</w:t>
      </w:r>
    </w:p>
    <w:p>
      <w:pPr>
        <w:spacing w:after="12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Zbudowałem kompletny system sprzedaży online dla inwestycji Kaszubska Osada: od projektu strony, przez automatyczne zbieranie zapytań, po prowadzenie kampanii reklamowych i telefoniczną obsługę leadów aż do umówienia prezentacji na miejscu. Wszystkie elementy są ze sobą połączone i działają bez przerwy.</w:t>
      </w:r>
    </w:p>
    <w:p>
      <w:pPr>
        <w:spacing w:after="80"/>
      </w:pP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2"/>
            </w:tcBorders>
            <w:shd w:fill="1A3A2A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B85C"/>
                <w:sz w:val="36"/>
                <w:szCs w:val="36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kompletna strona sprzedażowa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2"/>
            </w:tcBorders>
            <w:shd w:fill="1A3A2A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B85C"/>
                <w:sz w:val="36"/>
                <w:szCs w:val="36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platformy reklamowe: Meta i Google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2"/>
            </w:tcBorders>
            <w:shd w:fill="1A3A2A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B85C"/>
                <w:sz w:val="36"/>
                <w:szCs w:val="36"/>
              </w:rPr>
              <w:t xml:space="preserve">24/7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automatyczne zbieranie leadów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2"/>
            </w:tcBorders>
            <w:shd w:fill="1A3A2A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B85C"/>
                <w:sz w:val="36"/>
                <w:szCs w:val="36"/>
              </w:rPr>
              <w:t xml:space="preserve">100%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zgodność z RODO</w:t>
            </w:r>
          </w:p>
        </w:tc>
      </w:tr>
    </w:tbl>
    <w:p>
      <w:pPr>
        <w:pStyle w:val="Heading1"/>
        <w:pBdr>
          <w:bottom w:val="single" w:color="B8963A" w:sz="6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B8963A"/>
          <w:sz w:val="28"/>
          <w:szCs w:val="28"/>
        </w:rPr>
        <w:t xml:space="preserve">01  </w:t>
      </w:r>
      <w:r>
        <w:rPr>
          <w:rFonts w:ascii="Calibri" w:cs="Calibri" w:eastAsia="Calibri" w:hAnsi="Calibri"/>
          <w:b/>
          <w:bCs/>
          <w:color w:val="1A3A2A"/>
          <w:sz w:val="28"/>
          <w:szCs w:val="28"/>
        </w:rPr>
        <w:t xml:space="preserve">Projekt i wykonanie strony sprzedażowej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5A6B60"/>
          <w:sz w:val="21"/>
          <w:szCs w:val="21"/>
        </w:rPr>
        <w:t xml:space="preserve">Nowoczesna strona premium zaprojektowana pod sprzedaż domów i pozyskiwanie zapytań.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Indywidualny projekt graficzny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spójny z marką inwestycji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Pełna responsywność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telefon, tablet i komputer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Interaktywny plan osady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kliknięcie budynku na zdjęciu z drona pokazuje dostępne domy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Prezentacja oferty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karuzela domów z cenami, metrażem i statusem dostępności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Galerie zdjęć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podział na kategorie i podgląd w powiększeniu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Pop-up ofertowy i pasek promocyjny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zachęcają do kontaktu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Przycisk „Zadzwoń teraz”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stale widoczny, szczególnie na telefonach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Sekcje sprzedażowe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lokalizacja z mapą, atuty, standard wykończenia, opłacalność inwestycji</w:t>
      </w:r>
    </w:p>
    <w:p>
      <w:pPr>
        <w:pStyle w:val="Heading1"/>
        <w:pBdr>
          <w:bottom w:val="single" w:color="B8963A" w:sz="6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B8963A"/>
          <w:sz w:val="28"/>
          <w:szCs w:val="28"/>
        </w:rPr>
        <w:t xml:space="preserve">02  </w:t>
      </w:r>
      <w:r>
        <w:rPr>
          <w:rFonts w:ascii="Calibri" w:cs="Calibri" w:eastAsia="Calibri" w:hAnsi="Calibri"/>
          <w:b/>
          <w:bCs/>
          <w:color w:val="1A3A2A"/>
          <w:sz w:val="28"/>
          <w:szCs w:val="28"/>
        </w:rPr>
        <w:t xml:space="preserve">Materiały sprzedażowe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Projekt kart lokali (PDF)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autorski projekt karty dla każdego domu, do pobrania ze strony</w:t>
      </w:r>
    </w:p>
    <w:p>
      <w:pPr>
        <w:pStyle w:val="Heading1"/>
        <w:pBdr>
          <w:bottom w:val="single" w:color="B8963A" w:sz="6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B8963A"/>
          <w:sz w:val="28"/>
          <w:szCs w:val="28"/>
        </w:rPr>
        <w:t xml:space="preserve">03  </w:t>
      </w:r>
      <w:r>
        <w:rPr>
          <w:rFonts w:ascii="Calibri" w:cs="Calibri" w:eastAsia="Calibri" w:hAnsi="Calibri"/>
          <w:b/>
          <w:bCs/>
          <w:color w:val="1A3A2A"/>
          <w:sz w:val="28"/>
          <w:szCs w:val="28"/>
        </w:rPr>
        <w:t xml:space="preserve">Automatyzacja leadów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5A6B60"/>
          <w:sz w:val="21"/>
          <w:szCs w:val="21"/>
        </w:rPr>
        <w:t xml:space="preserve">Każde zapytanie trafia od razu tam, gdzie trzeba – bez ręcznego przepisywania.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Formularze kontaktowe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zapytanie ofertowe oraz prośba o oddzwonienie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Natychmiastowe powiadomienia e-mail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każdy nowy lead od razu w skrzynce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Automatyczny zapis do arkusza (Excel)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pełna baza leadów w jednym miejscu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Zabezpieczenie formularzy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weryfikacja danych i ochrona przed błędnymi zgłoszeniami</w:t>
      </w:r>
    </w:p>
    <w:p>
      <w:pPr>
        <w:pStyle w:val="Heading1"/>
        <w:pBdr>
          <w:bottom w:val="single" w:color="B8963A" w:sz="6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B8963A"/>
          <w:sz w:val="28"/>
          <w:szCs w:val="28"/>
        </w:rPr>
        <w:t xml:space="preserve">04  </w:t>
      </w:r>
      <w:r>
        <w:rPr>
          <w:rFonts w:ascii="Calibri" w:cs="Calibri" w:eastAsia="Calibri" w:hAnsi="Calibri"/>
          <w:b/>
          <w:bCs/>
          <w:color w:val="1A3A2A"/>
          <w:sz w:val="28"/>
          <w:szCs w:val="28"/>
        </w:rPr>
        <w:t xml:space="preserve">RODO i zgodność prawna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Opracowanie polityki prywatności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przygotowana od podstaw i opublikowana na stronie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Baner zgód cookies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użytkownik sam decyduje o zgodach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Narzędzia marketingowe zgodne z RODO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uruchamiane dopiero po wyrażeniu zgody</w:t>
      </w:r>
    </w:p>
    <w:p>
      <w:pPr>
        <w:pStyle w:val="Heading1"/>
        <w:pBdr>
          <w:bottom w:val="single" w:color="B8963A" w:sz="6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B8963A"/>
          <w:sz w:val="28"/>
          <w:szCs w:val="28"/>
        </w:rPr>
        <w:t xml:space="preserve">05  </w:t>
      </w:r>
      <w:r>
        <w:rPr>
          <w:rFonts w:ascii="Calibri" w:cs="Calibri" w:eastAsia="Calibri" w:hAnsi="Calibri"/>
          <w:b/>
          <w:bCs/>
          <w:color w:val="1A3A2A"/>
          <w:sz w:val="28"/>
          <w:szCs w:val="28"/>
        </w:rPr>
        <w:t xml:space="preserve">Analityka i pomiar skuteczności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5A6B60"/>
          <w:sz w:val="21"/>
          <w:szCs w:val="21"/>
        </w:rPr>
        <w:t xml:space="preserve">Dzięki pomiarowi wiadomo, ile kosztuje każdy lead i która reklama przynosi efekty.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Google Tag Manager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centralne zarządzanie wszystkimi narzędziami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Google Analytics 4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pełna analiza ruchu na stronie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Piksel Meta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połączenie strony z kampaniami na Facebooku i Instagramie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Śledzenie konwersji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wysłane formularze, prośby o kontakt, pobrania kart lokali, zaangażowanie odwiedzających</w:t>
      </w:r>
    </w:p>
    <w:p>
      <w:pPr>
        <w:pStyle w:val="Heading1"/>
        <w:pBdr>
          <w:bottom w:val="single" w:color="B8963A" w:sz="6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B8963A"/>
          <w:sz w:val="28"/>
          <w:szCs w:val="28"/>
        </w:rPr>
        <w:t xml:space="preserve">06  </w:t>
      </w:r>
      <w:r>
        <w:rPr>
          <w:rFonts w:ascii="Calibri" w:cs="Calibri" w:eastAsia="Calibri" w:hAnsi="Calibri"/>
          <w:b/>
          <w:bCs/>
          <w:color w:val="1A3A2A"/>
          <w:sz w:val="28"/>
          <w:szCs w:val="28"/>
        </w:rPr>
        <w:t xml:space="preserve">SEO i widoczność w Google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Wizytówka Google (Google Business Profile)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założenie i konfiguracja – inwestycja widoczna w Mapach Google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Google Search Console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podłączenie strony i monitorowanie widoczności w wyszukiwarce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Optymalizacja pod wyszukiwarki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tytuły, opisy i struktura strony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Dane strukturalne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lepsza prezentacja inwestycji w wynikach Google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Dodatkowe mapy witryny (sitemapy)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szybsze i pełniejsze indeksowanie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Atrakcyjny podgląd linku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przy udostępnianiu na Facebooku i w komunikatorach</w:t>
      </w:r>
    </w:p>
    <w:p>
      <w:pPr>
        <w:pStyle w:val="Heading1"/>
        <w:pBdr>
          <w:bottom w:val="single" w:color="B8963A" w:sz="6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B8963A"/>
          <w:sz w:val="28"/>
          <w:szCs w:val="28"/>
        </w:rPr>
        <w:t xml:space="preserve">07  </w:t>
      </w:r>
      <w:r>
        <w:rPr>
          <w:rFonts w:ascii="Calibri" w:cs="Calibri" w:eastAsia="Calibri" w:hAnsi="Calibri"/>
          <w:b/>
          <w:bCs/>
          <w:color w:val="1A3A2A"/>
          <w:sz w:val="28"/>
          <w:szCs w:val="28"/>
        </w:rPr>
        <w:t xml:space="preserve">Kampania Meta (Facebook i Instagram)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Film promocyjny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przygotowany od podstaw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Konfiguracja kampanii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grupy docelowe, budżety, cele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Przygotowanie kreacji reklamowych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kilka wariantów reklam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Testy i optymalizacja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porównywanie wyników i wzmacnianie najskuteczniejszych reklam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Stała obsługa kampanii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bieżące monitorowanie i reagowanie</w:t>
      </w:r>
    </w:p>
    <w:p>
      <w:pPr>
        <w:pStyle w:val="Heading1"/>
        <w:pBdr>
          <w:bottom w:val="single" w:color="B8963A" w:sz="6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B8963A"/>
          <w:sz w:val="28"/>
          <w:szCs w:val="28"/>
        </w:rPr>
        <w:t xml:space="preserve">08  </w:t>
      </w:r>
      <w:r>
        <w:rPr>
          <w:rFonts w:ascii="Calibri" w:cs="Calibri" w:eastAsia="Calibri" w:hAnsi="Calibri"/>
          <w:b/>
          <w:bCs/>
          <w:color w:val="1A3A2A"/>
          <w:sz w:val="28"/>
          <w:szCs w:val="28"/>
        </w:rPr>
        <w:t xml:space="preserve">Kampania Google Ads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Konfiguracja kampanii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dobór słów kluczowych, reklam i budżetu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Współpraca z przedstawicielami Google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konsultacje w celu jak najlepszego ustawienia kampanii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Konfiguracja konwersji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przez Google Tag Manager – kampania wie, które kliknięcia kończą się zapytaniem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Optymalizacja na podstawie wyników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budżet kierowany tam, gdzie przynosi leady</w:t>
      </w:r>
    </w:p>
    <w:p>
      <w:pPr>
        <w:pStyle w:val="Heading1"/>
        <w:pBdr>
          <w:bottom w:val="single" w:color="B8963A" w:sz="6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B8963A"/>
          <w:sz w:val="28"/>
          <w:szCs w:val="28"/>
        </w:rPr>
        <w:t xml:space="preserve">09  </w:t>
      </w:r>
      <w:r>
        <w:rPr>
          <w:rFonts w:ascii="Calibri" w:cs="Calibri" w:eastAsia="Calibri" w:hAnsi="Calibri"/>
          <w:b/>
          <w:bCs/>
          <w:color w:val="1A3A2A"/>
          <w:sz w:val="28"/>
          <w:szCs w:val="28"/>
        </w:rPr>
        <w:t xml:space="preserve">Obsługa leadów i wsparcie sprzedaży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5A6B60"/>
          <w:sz w:val="21"/>
          <w:szCs w:val="21"/>
        </w:rPr>
        <w:t xml:space="preserve">Leady nie zostawały same sobie – każdy był prowadzony aż do spotkania.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Szybki kontakt telefoniczny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dzwonienie do każdej osoby, która zostawiła zgłoszenie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Systematyczny follow-up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ponowny kontakt z osobami, które nie odebrały lub potrzebowały czasu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Kwalifikacja klientów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rozpoznanie potrzeb, budżetu i poziomu zainteresowania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Umawianie prezentacji na miejscu inwestycji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przekazywanie gotowych spotkań z realnie zainteresowanymi klientami</w:t>
      </w:r>
    </w:p>
    <w:p>
      <w:pPr>
        <w:pStyle w:val="Heading1"/>
        <w:pBdr>
          <w:bottom w:val="single" w:color="B8963A" w:sz="6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B8963A"/>
          <w:sz w:val="28"/>
          <w:szCs w:val="28"/>
        </w:rPr>
        <w:t xml:space="preserve">10  </w:t>
      </w:r>
      <w:r>
        <w:rPr>
          <w:rFonts w:ascii="Calibri" w:cs="Calibri" w:eastAsia="Calibri" w:hAnsi="Calibri"/>
          <w:b/>
          <w:bCs/>
          <w:color w:val="1A3A2A"/>
          <w:sz w:val="28"/>
          <w:szCs w:val="28"/>
        </w:rPr>
        <w:t xml:space="preserve">Bieżąca obsługa i rozwój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Aktualizacje oferty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ceny, statusy sprzedaży, dane kontaktowe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Wymiana treści i zdjęć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na bieżąco według potrzeb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Ciągłe usprawnienia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kolejne poprawki na podstawie wyników i zachowań odwiedzających</w:t>
      </w:r>
    </w:p>
    <w:p>
      <w:pPr>
        <w:pStyle w:val="Heading1"/>
        <w:pBdr>
          <w:bottom w:val="single" w:color="B8963A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1A3A2A"/>
          <w:sz w:val="28"/>
          <w:szCs w:val="28"/>
        </w:rPr>
        <w:t xml:space="preserve">Efekt: kompletny lejek sprzedażowy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2"/>
            </w:tcBorders>
            <w:shd w:fill="E9E1D0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3A2A"/>
                <w:sz w:val="19"/>
                <w:szCs w:val="19"/>
              </w:rPr>
              <w:t xml:space="preserve">1. Reklama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3A2A"/>
                <w:sz w:val="19"/>
                <w:szCs w:val="19"/>
              </w:rPr>
              <w:t xml:space="preserve">Meta / Google</w:t>
            </w:r>
          </w:p>
        </w:tc>
        <w:tc>
          <w:tcPr>
            <w:tcW w:type="dxa" w:w="1504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2"/>
            </w:tcBorders>
            <w:shd w:fill="F5F0E8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3A2A"/>
                <w:sz w:val="19"/>
                <w:szCs w:val="19"/>
              </w:rPr>
              <w:t xml:space="preserve">2. Strona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3A2A"/>
                <w:sz w:val="19"/>
                <w:szCs w:val="19"/>
              </w:rPr>
              <w:t xml:space="preserve">sprzedażowa</w:t>
            </w:r>
          </w:p>
        </w:tc>
        <w:tc>
          <w:tcPr>
            <w:tcW w:type="dxa" w:w="1504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2"/>
            </w:tcBorders>
            <w:shd w:fill="E9E1D0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3A2A"/>
                <w:sz w:val="19"/>
                <w:szCs w:val="19"/>
              </w:rPr>
              <w:t xml:space="preserve">3. Formularz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3A2A"/>
                <w:sz w:val="19"/>
                <w:szCs w:val="19"/>
              </w:rPr>
              <w:t xml:space="preserve">/ telefon</w:t>
            </w:r>
          </w:p>
        </w:tc>
        <w:tc>
          <w:tcPr>
            <w:tcW w:type="dxa" w:w="1504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2"/>
            </w:tcBorders>
            <w:shd w:fill="F5F0E8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3A2A"/>
                <w:sz w:val="19"/>
                <w:szCs w:val="19"/>
              </w:rPr>
              <w:t xml:space="preserve">4. Mail +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3A2A"/>
                <w:sz w:val="19"/>
                <w:szCs w:val="19"/>
              </w:rPr>
              <w:t xml:space="preserve">arkusz leadów</w:t>
            </w:r>
          </w:p>
        </w:tc>
        <w:tc>
          <w:tcPr>
            <w:tcW w:type="dxa" w:w="1504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2"/>
            </w:tcBorders>
            <w:shd w:fill="E9E1D0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3A2A"/>
                <w:sz w:val="19"/>
                <w:szCs w:val="19"/>
              </w:rPr>
              <w:t xml:space="preserve">5. Telefon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3A2A"/>
                <w:sz w:val="19"/>
                <w:szCs w:val="19"/>
              </w:rPr>
              <w:t xml:space="preserve">i follow-up</w:t>
            </w:r>
          </w:p>
        </w:tc>
        <w:tc>
          <w:tcPr>
            <w:tcW w:type="dxa" w:w="1504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2"/>
            </w:tcBorders>
            <w:shd w:fill="F5F0E8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3A2A"/>
                <w:sz w:val="19"/>
                <w:szCs w:val="19"/>
              </w:rPr>
              <w:t xml:space="preserve">6. Prezentacja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3A2A"/>
                <w:sz w:val="19"/>
                <w:szCs w:val="19"/>
              </w:rPr>
              <w:t xml:space="preserve">na miejscu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i/>
          <w:iCs/>
          <w:color w:val="5A6B60"/>
          <w:sz w:val="21"/>
          <w:szCs w:val="21"/>
        </w:rPr>
        <w:t xml:space="preserve">Od pierwszego kontaktu z reklamą aż do spotkania z klientem na miejscu inwestycji – każdy etap jest obsłużony, mierzony i stale ulepszany.</w:t>
      </w:r>
    </w:p>
    <w:sectPr>
      <w:footerReference w:type="default" r:id="rId7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99999"/>
        <w:sz w:val="16"/>
        <w:szCs w:val="16"/>
      </w:rPr>
      <w:t xml:space="preserve">Kaszubska Osada – podsumowanie usług  ·  </w:t>
    </w:r>
    <w:r>
      <w:rPr>
        <w:rFonts w:ascii="Calibri" w:cs="Calibri" w:eastAsia="Calibri" w:hAnsi="Calibr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440" w:hanging="300"/>
      </w:pPr>
      <w:rPr>
        <w:rFonts w:ascii="Segoe UI Symbol" w:cs="Segoe UI Symbol" w:eastAsia="Segoe UI Symbol" w:hAnsi="Segoe UI Symbol"/>
        <w:b/>
        <w:bCs/>
        <w:color w:val="B896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Calibri" w:cs="Calibri" w:eastAsia="Calibri" w:hAnsi="Calibri"/>
      <w:b/>
      <w:bCs/>
      <w:color w:val="1A3A2A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2026-10-02T17:37:29.380Z</dcterms:created>
  <dcterms:modified xsi:type="dcterms:W3CDTF">2026-10-02T17:37:29.380Z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