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Execution Pipeline Overview</w:t>
      </w:r>
    </w:p>
    <w:p>
      <w:pPr>
        <w:pStyle w:val="Heading1"/>
      </w:pPr>
      <w:r>
        <w:t>Introduction</w:t>
      </w:r>
    </w:p>
    <w:p>
      <w:r>
        <w:t>This document offers a high‑level, business‑focused walkthrough of the Natural Language Processing (NLP) information‑retrieval project, highlighting why each stage exists and how it contributes value to stakeholders.</w:t>
      </w:r>
    </w:p>
    <w:p>
      <w:pPr>
        <w:pStyle w:val="Heading1"/>
      </w:pPr>
      <w:r>
        <w:t>Data Acquisition &amp; Loading</w:t>
      </w:r>
    </w:p>
    <w:p>
      <w:r>
        <w:t>Raw textual datasets are gathered from internal knowledge bases and open‑source corpora. They are loaded through the `datasets` module, which converts disparate formats into a clean pandas DataFrame ready for downstream analysis.</w:t>
      </w:r>
    </w:p>
    <w:p>
      <w:pPr>
        <w:pStyle w:val="Heading1"/>
      </w:pPr>
      <w:r>
        <w:t>Exploratory Data Analysis</w:t>
      </w:r>
    </w:p>
    <w:p>
      <w:r>
        <w:t>Using notebook ‘2_exploratory_analysis’, analysts profile data quality, spot class imbalances, and surface domain‑specific terminology. Early visualisations drive decisions about feature engineering and model choice.</w:t>
      </w:r>
    </w:p>
    <w:p>
      <w:pPr>
        <w:pStyle w:val="Heading1"/>
      </w:pPr>
      <w:r>
        <w:t>Feature Engineering &amp; Vectorisation</w:t>
      </w:r>
    </w:p>
    <w:p>
      <w:r>
        <w:t>The `algorithms` package provides reusable pipelines: classic TF‑IDF, transformer embeddings and hybrid representations. These steps translate raw text into numerical vectors that machine‑learning algorithms can interpret.</w:t>
      </w:r>
    </w:p>
    <w:p>
      <w:pPr>
        <w:pStyle w:val="Heading1"/>
      </w:pPr>
      <w:r>
        <w:t>Model Training</w:t>
      </w:r>
    </w:p>
    <w:p>
      <w:r>
        <w:t>Notebook ‘3_model_training’ calls into algorithm wrappers such as `LinearSVMClassifier` and `TransformerLogRegClassifier`. Hyper‑parameters are tuned via cross‑validation to maximise precision and recall for the target retrieval scenarios.</w:t>
      </w:r>
    </w:p>
    <w:p>
      <w:pPr>
        <w:pStyle w:val="Heading1"/>
      </w:pPr>
      <w:r>
        <w:t>Model Evaluation &amp; Validation</w:t>
      </w:r>
    </w:p>
    <w:p>
      <w:r>
        <w:t>Notebook ‘4_model_evaluation_roc’ benchmarks candidate models with ROC‑AUC, confusion matrices and business‑oriented cost curves. This ensures that classification thresholds align with acceptable false‑positive rates agreed with stakeholders.</w:t>
      </w:r>
    </w:p>
    <w:p>
      <w:pPr>
        <w:pStyle w:val="Heading1"/>
      </w:pPr>
      <w:r>
        <w:t>Results Comparison &amp; Insight Generation</w:t>
      </w:r>
    </w:p>
    <w:p>
      <w:r>
        <w:t>‘05_RESULTS_COMPARISON’ automatically collates metrics across experiments into a single dashboard, accelerating model governance and auditability.</w:t>
      </w:r>
    </w:p>
    <w:p>
      <w:pPr>
        <w:pStyle w:val="Heading1"/>
      </w:pPr>
      <w:r>
        <w:t>Semantic Search &amp; Retrieval‑Augmented Generation (RAG)</w:t>
      </w:r>
    </w:p>
    <w:p>
      <w:r>
        <w:t>‘06_SEMANTIC_SEARCH_DEMO’ showcases neural search. The `rag` package maintains a vector index, retrieves context passages, and feeds them into GPT‑style large language models, returning grounded answers—critical for explainability in regulated environments.</w:t>
      </w:r>
    </w:p>
    <w:p>
      <w:pPr>
        <w:pStyle w:val="Heading1"/>
      </w:pPr>
      <w:r>
        <w:t>API Layer &amp; Integration</w:t>
      </w:r>
    </w:p>
    <w:p>
      <w:r>
        <w:t>The lightweight FastAPI server in `src/api/main.py` exposes REST endpoints for prediction and semantic search, so that web portals, chatbots or analytics tools can consume the models in real‑time.</w:t>
      </w:r>
    </w:p>
    <w:p>
      <w:pPr>
        <w:pStyle w:val="Heading1"/>
      </w:pPr>
      <w:r>
        <w:t>Conclusion &amp; Next Steps</w:t>
      </w:r>
    </w:p>
    <w:p>
      <w:r>
        <w:t>The modular design allows rapid experimentation and straightforward extension to new domains. Immediate next steps include automatic data refresh pipelines and GPU‑accelerated embedding generation to further reduce latency.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