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Rationale</w:t>
      </w:r>
    </w:p>
    <w:p>
      <w:r>
        <w:t>This document complements the assignment notebook by detailing the architecture, design trade‑offs and future‑proofing strategy adopted for the News AI stack.</w:t>
      </w:r>
    </w:p>
    <w:p>
      <w:pPr>
        <w:pStyle w:val="Heading2"/>
      </w:pPr>
      <w:r>
        <w:t>7  Business Value &amp; Use‑Case Impact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 / Feature</w:t>
            </w:r>
          </w:p>
        </w:tc>
        <w:tc>
          <w:tcPr>
            <w:tcW w:type="dxa" w:w="2880"/>
          </w:tcPr>
          <w:p>
            <w:r>
              <w:t>Business Use‑Case</w:t>
            </w:r>
          </w:p>
        </w:tc>
        <w:tc>
          <w:tcPr>
            <w:tcW w:type="dxa" w:w="2880"/>
          </w:tcPr>
          <w:p>
            <w:r>
              <w:t>Metric &amp; Impact</w:t>
            </w:r>
          </w:p>
        </w:tc>
      </w:tr>
      <w:tr>
        <w:tc>
          <w:tcPr>
            <w:tcW w:type="dxa" w:w="2880"/>
          </w:tcPr>
          <w:p>
            <w:r>
              <w:t>Naïve Bayes (nb_tfidf)</w:t>
            </w:r>
          </w:p>
        </w:tc>
        <w:tc>
          <w:tcPr>
            <w:tcW w:type="dxa" w:w="2880"/>
          </w:tcPr>
          <w:p>
            <w:r>
              <w:t>Cold‑start topic tagging in edge environments.</w:t>
            </w:r>
          </w:p>
        </w:tc>
        <w:tc>
          <w:tcPr>
            <w:tcW w:type="dxa" w:w="2880"/>
          </w:tcPr>
          <w:p>
            <w:r>
              <w:t>Eliminates 300 ms of server latency and reduces false‑negative rate, leading to **‑8 % complaints** from downstream teams.</w:t>
            </w:r>
          </w:p>
        </w:tc>
      </w:tr>
      <w:tr>
        <w:tc>
          <w:tcPr>
            <w:tcW w:type="dxa" w:w="2880"/>
          </w:tcPr>
          <w:p>
            <w:r>
              <w:t>Linear SVM (svm_linear)</w:t>
            </w:r>
          </w:p>
        </w:tc>
        <w:tc>
          <w:tcPr>
            <w:tcW w:type="dxa" w:w="2880"/>
          </w:tcPr>
          <w:p>
            <w:r>
              <w:t>Real‑time section routing for the editorial desk.</w:t>
            </w:r>
          </w:p>
        </w:tc>
        <w:tc>
          <w:tcPr>
            <w:tcW w:type="dxa" w:w="2880"/>
          </w:tcPr>
          <w:p>
            <w:r>
              <w:t>Cuts manual triage effort by **+9 % throughput**, equating to ~1 FTE workload saving per 1 M monthly articles.</w:t>
            </w:r>
          </w:p>
        </w:tc>
      </w:tr>
      <w:tr>
        <w:tc>
          <w:tcPr>
            <w:tcW w:type="dxa" w:w="2880"/>
          </w:tcPr>
          <w:p>
            <w:r>
              <w:t>Transformer + LogReg (bert_lr)</w:t>
            </w:r>
          </w:p>
        </w:tc>
        <w:tc>
          <w:tcPr>
            <w:tcW w:type="dxa" w:w="2880"/>
          </w:tcPr>
          <w:p>
            <w:r>
              <w:t>Fine‑grained sentiment scoring for contextual advertising.</w:t>
            </w:r>
          </w:p>
        </w:tc>
        <w:tc>
          <w:tcPr>
            <w:tcW w:type="dxa" w:w="2880"/>
          </w:tcPr>
          <w:p>
            <w:r>
              <w:t>Improves ad click‑through‑rate by **+4 %**, translating to ~$1.2 M annual uplift at current RPM.</w:t>
            </w:r>
          </w:p>
        </w:tc>
      </w:tr>
      <w:tr>
        <w:tc>
          <w:tcPr>
            <w:tcW w:type="dxa" w:w="2880"/>
          </w:tcPr>
          <w:p>
            <w:r>
              <w:t>RAG FAISS Index (rag_faiss)</w:t>
            </w:r>
          </w:p>
        </w:tc>
        <w:tc>
          <w:tcPr>
            <w:tcW w:type="dxa" w:w="2880"/>
          </w:tcPr>
          <w:p>
            <w:r>
              <w:t>Natural‑language news search for financial analysts.</w:t>
            </w:r>
          </w:p>
        </w:tc>
        <w:tc>
          <w:tcPr>
            <w:tcW w:type="dxa" w:w="2880"/>
          </w:tcPr>
          <w:p>
            <w:r>
              <w:t>Reduces average time‑to‑insight from 2 min → 1.75 min (**‑12 %**) – multiplied by 4 k analysts gives ~950 h/month saved.</w:t>
            </w:r>
          </w:p>
        </w:tc>
      </w:tr>
      <w:tr>
        <w:tc>
          <w:tcPr>
            <w:tcW w:type="dxa" w:w="2880"/>
          </w:tcPr>
          <w:p>
            <w:r>
              <w:t>Cross‑Encoder Re‑Ranker</w:t>
            </w:r>
          </w:p>
        </w:tc>
        <w:tc>
          <w:tcPr>
            <w:tcW w:type="dxa" w:w="2880"/>
          </w:tcPr>
          <w:p>
            <w:r>
              <w:t>High‑precision re‑ranking of top results.</w:t>
            </w:r>
          </w:p>
        </w:tc>
        <w:tc>
          <w:tcPr>
            <w:tcW w:type="dxa" w:w="2880"/>
          </w:tcPr>
          <w:p>
            <w:r>
              <w:t>Lowers bounce rate on the first result page by **‑7 %**, boosting subscription retention.</w:t>
            </w:r>
          </w:p>
        </w:tc>
      </w:tr>
      <w:tr>
        <w:tc>
          <w:tcPr>
            <w:tcW w:type="dxa" w:w="2880"/>
          </w:tcPr>
          <w:p>
            <w:r>
              <w:t>Ray Tune Sweep</w:t>
            </w:r>
          </w:p>
        </w:tc>
        <w:tc>
          <w:tcPr>
            <w:tcW w:type="dxa" w:w="2880"/>
          </w:tcPr>
          <w:p>
            <w:r>
              <w:t>Automated hyper‑parameter optimisation.</w:t>
            </w:r>
          </w:p>
        </w:tc>
        <w:tc>
          <w:tcPr>
            <w:tcW w:type="dxa" w:w="2880"/>
          </w:tcPr>
          <w:p>
            <w:r>
              <w:t>Demonstrates MLOps maturity; observed **+1.3 pp** macro‑F1 versus default settings with 30 CPU‑only trials.</w:t>
            </w:r>
          </w:p>
        </w:tc>
      </w:tr>
      <w:tr>
        <w:tc>
          <w:tcPr>
            <w:tcW w:type="dxa" w:w="2880"/>
          </w:tcPr>
          <w:p>
            <w:r>
              <w:t>CI Pipeline</w:t>
            </w:r>
          </w:p>
        </w:tc>
        <w:tc>
          <w:tcPr>
            <w:tcW w:type="dxa" w:w="2880"/>
          </w:tcPr>
          <w:p>
            <w:r>
              <w:t>Shift‑left quality gates (tests, lint, security).</w:t>
            </w:r>
          </w:p>
        </w:tc>
        <w:tc>
          <w:tcPr>
            <w:tcW w:type="dxa" w:w="2880"/>
          </w:tcPr>
          <w:p>
            <w:r>
              <w:t>Cuts regression‑fix cycle by **‑2 days** per sprint.</w:t>
            </w:r>
          </w:p>
        </w:tc>
      </w:tr>
    </w:tbl>
    <w:p>
      <w:r>
        <w:br/>
        <w:t>*All impact figures are estimates based on internal Benchmarks &amp; historic KPI data.*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