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Subject:</w:t>
      </w:r>
      <w:r>
        <w:t xml:space="preserve"> Stage 1 benchmark complete — results, three corrections, and Stage 2 scope</w:t>
      </w:r>
    </w:p>
    <w:p/>
    <w:p>
      <w:r>
        <w:t>Hi Hang,</w:t>
      </w:r>
    </w:p>
    <w:p>
      <w:r>
        <w:t xml:space="preserve">The Group 1 and Group 2 benchmark is finished. All seven methods, both held-out targets, five seeds, scored on the six criteria you asked for. Summary table below; the full write-ups are in </w:t>
      </w:r>
      <w:r>
        <w:rPr>
          <w:rFonts w:ascii="Consolas" w:hAnsi="Consolas"/>
          <w:color w:val="333333"/>
          <w:sz w:val="19"/>
        </w:rPr>
        <w:t>docs/stage1_results.md</w:t>
      </w:r>
      <w:r>
        <w:t xml:space="preserve"> and </w:t>
      </w:r>
      <w:r>
        <w:rPr>
          <w:rFonts w:ascii="Consolas" w:hAnsi="Consolas"/>
          <w:color w:val="333333"/>
          <w:sz w:val="19"/>
        </w:rPr>
        <w:t>docs/stage1b_results.md</w:t>
      </w:r>
      <w:r>
        <w:t>.</w:t>
      </w:r>
    </w:p>
    <w:p>
      <w:r>
        <w:t>Three findings changed after I checked the protocol's own assumptions, so I want to state those first.</w:t>
      </w:r>
    </w:p>
    <w:p>
      <w:pPr>
        <w:pStyle w:val="Heading2"/>
      </w:pPr>
      <w:r>
        <w:t>Three corrections to what I reported earlier</w:t>
      </w:r>
    </w:p>
    <w:p>
      <w:r>
        <w:rPr>
          <w:b/>
        </w:rPr>
        <w:t>1. tanh does fit. My earlier report that it could not was wrong.</w:t>
      </w:r>
      <w:r>
        <w:t xml:space="preserve"> I had said its failure was architectural because no learning rate in the grid fit on all seeds. The learning-rate </w:t>
      </w:r>
      <w:r>
        <w:rPr>
          <w:i/>
        </w:rPr>
        <w:t>schedule</w:t>
      </w:r>
      <w:r>
        <w:t xml:space="preserve"> was derived from the iteration budget (</w:t>
      </w:r>
      <w:r>
        <w:rPr>
          <w:rFonts w:ascii="Consolas" w:hAnsi="Consolas"/>
          <w:color w:val="333333"/>
          <w:sz w:val="19"/>
        </w:rPr>
        <w:t>step_size = n_iters // 4</w:t>
      </w:r>
      <w:r>
        <w:t>), and tanh converges slowly enough that its rate was cut to a quarter before it reached chi^2 = 1. The grid set the initial rate; the schedule decayed it regardless — which is exactly why the failure looked architectural. Scheduling from each configuration's measured convergence, tanh fits 5/5 seeds on both targets (0.834 and 0.767).</w:t>
      </w:r>
    </w:p>
    <w:p>
      <w:r>
        <w:rPr>
          <w:b/>
        </w:rPr>
        <w:t>2. The ~50% conventional advantage was a configuration artifact.</w:t>
      </w:r>
      <w:r>
        <w:t xml:space="preserve"> Under a shared capacity and iteration budget, TV appeared about 50% more accurate than any network. Tuning capacity, budget and frequency scale per architecture erased that: Fourier 0.405 against TV's 0.362 on blocks (paired t, n = 5, p = 0.15) and 0.545 vs 0.547 on parflow.</w:t>
      </w:r>
    </w:p>
    <w:p>
      <w:r>
        <w:rPr>
          <w:b/>
        </w:rPr>
        <w:t>3. "Optimizing past the noise level degrades models 17-49%" was not representative.</w:t>
      </w:r>
      <w:r>
        <w:t xml:space="preserve"> That range came from the convergence probe, where Fourier ran far past chi^2 = 1. Measured properly across architectures and configurations (41 runs), degradation tracks </w:t>
      </w:r>
      <w:r>
        <w:rPr>
          <w:i/>
        </w:rPr>
        <w:t>budget overshoot</w:t>
      </w:r>
      <w:r>
        <w:t>, not architecture: +1.7% below 3x the iterations needed to reach chi^2 = 1, +5.7% at 3-10x, +10.3% beyond 10x. Since architectures reach chi^2 = 1 between 94 and 2010 iterations, a shared budget runs some of them an order of magnitude further past their stopping point than others. This strengthens rather than weakens the case for scoring at matched data fit.</w:t>
      </w:r>
    </w:p>
    <w:p>
      <w:r>
        <w:t>In total, six conclusions in the first draft measured a shared setting rather than an architecture. That is the main methodological result, and I think it is the part worth writing up.</w:t>
      </w:r>
    </w:p>
    <w:p>
      <w:pPr>
        <w:pStyle w:val="Heading2"/>
      </w:pPr>
      <w:r>
        <w:t>Summary table</w:t>
      </w:r>
    </w:p>
    <w:p>
      <w:r>
        <w:t xml:space="preserve">Model error is coverage-masked log-RMSE at chi^2 = 1, mean over 5 seeds. Geometry columns are the </w:t>
      </w:r>
      <w:r>
        <w:rPr>
          <w:rFonts w:ascii="Consolas" w:hAnsi="Consolas"/>
          <w:color w:val="333333"/>
          <w:sz w:val="19"/>
        </w:rPr>
        <w:t>blocks</w:t>
      </w:r>
      <w:r>
        <w:t xml:space="preserve"> target. Runtime is time to reach the noise level, not the full budget.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Group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err blocks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err parflow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IoU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centroid m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magnitude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SSIM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time to chi2=1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fit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</w:r>
            <w:r>
              <w:t>TV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1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rPr>
                <w:b/>
              </w:rPr>
              <w:t>0.362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0.547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rPr>
                <w:b/>
              </w:rPr>
              <w:t>0.826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rPr>
                <w:b/>
              </w:rPr>
              <w:t>1.7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0.80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rPr>
                <w:b/>
              </w:rPr>
              <w:t>0.729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rPr>
                <w:b/>
              </w:rPr>
              <w:t>0.9 s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5/5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</w:r>
            <w:r>
              <w:t>smooth-L2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1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0.501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0.572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0.593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5.9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0.80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0.504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0.9 s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5/5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</w:r>
            <w:r>
              <w:t>Fourier INR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2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0.405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rPr>
                <w:b/>
              </w:rPr>
              <w:t>0.545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0.662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4.7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0.70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0.560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13.5 s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5/5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</w:r>
            <w:r>
              <w:t>CNN-DIP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2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0.773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0.683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0.359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11.9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rPr>
                <w:b/>
              </w:rPr>
              <w:t>0.89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0.335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15.7 s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9/10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</w:r>
            <w:r>
              <w:t>SIREN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2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0.812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0.673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0.300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12.8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0.84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0.296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44.6 s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9/10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</w:r>
            <w:r>
              <w:t>tanh INR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2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0.834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0.767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0.297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13.3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0.82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0.306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215.7 s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10/10</w:t>
            </w:r>
          </w:p>
        </w:tc>
      </w:tr>
      <w:tr>
        <w:tc>
          <w:tcPr>
            <w:tcW w:type="dxa" w:w="864"/>
          </w:tcPr>
          <w:p>
            <w:r>
              <w:rPr>
                <w:sz w:val="19"/>
              </w:rPr>
            </w:r>
            <w:r>
              <w:t>ReLU INR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2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1.148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0.717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0.191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17.0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0.78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0.205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112.6 s</w:t>
            </w:r>
          </w:p>
        </w:tc>
        <w:tc>
          <w:tcPr>
            <w:tcW w:type="dxa" w:w="864"/>
          </w:tcPr>
          <w:p>
            <w:r>
              <w:rPr>
                <w:sz w:val="19"/>
              </w:rPr>
            </w:r>
            <w:r>
              <w:t>9/10</w:t>
            </w:r>
          </w:p>
        </w:tc>
      </w:tr>
    </w:tbl>
    <w:p/>
    <w:p>
      <w:r>
        <w:t xml:space="preserve">Initialization sensitivity and noise robustness are in </w:t>
      </w:r>
      <w:r>
        <w:rPr>
          <w:rFonts w:ascii="Consolas" w:hAnsi="Consolas"/>
          <w:color w:val="333333"/>
          <w:sz w:val="19"/>
        </w:rPr>
        <w:t>stage1_results.md</w:t>
      </w:r>
      <w:r>
        <w:t xml:space="preserve"> Tables 3 and 4 — those were measured at the shared configuration and I have not re-run them at the per-architecture settings.</w:t>
      </w:r>
    </w:p>
    <w:p>
      <w:pPr>
        <w:pStyle w:val="Heading2"/>
      </w:pPr>
      <w:r>
        <w:t>The result I think matters most</w:t>
      </w:r>
    </w:p>
    <w:p>
      <w:r>
        <w:rPr>
          <w:b/>
        </w:rPr>
        <w:t>Configuration can be chosen without ground truth — but only for some architectures.</w:t>
      </w:r>
    </w:p>
    <w:p>
      <w:r>
        <w:t>Stage 1b selects capacity, budget, frequency scale, learning rate and the conventional regularization weight on a separate calibration target containing smooth, intermediate and sharp structure, then freezes them. The held-out targets are inverted once and never influence any choice.</w:t>
      </w:r>
    </w:p>
    <w:p>
      <w:r>
        <w:t xml:space="preserve">For Fourier this reproduced the ground-truth-tuned result </w:t>
      </w:r>
      <w:r>
        <w:rPr>
          <w:i/>
        </w:rPr>
        <w:t>exactly</w:t>
      </w:r>
      <w:r>
        <w:t xml:space="preserve"> — 0.4046 and 0.5451 against 0.405 and 0.545 — and the geometry too (IoU 0.662, centroid 4.7 m, identical). On parflow it ranks first of all seven methods.</w:t>
      </w:r>
    </w:p>
    <w:p>
      <w:r>
        <w:t>The same protocol cost SIREN 18.6%. The reason is concrete: calibration selected width 64 (8,577 parameters) for SIREN and width 512 (528,199) for Fourier. SIREN is the most capacity-sensitive method in the study and the capacity that suited the calibration target does not suit blocks.</w:t>
      </w:r>
    </w:p>
    <w:p>
      <w:r>
        <w:t>Re-deriving TV's regularization weight on the same calibration target moved it by nothing measurable (0.362 -&gt; 0.3620). A scalar weight transfers between problems; a network's capacity may not.</w:t>
      </w:r>
    </w:p>
    <w:p>
      <w:r>
        <w:rPr>
          <w:b/>
        </w:rPr>
        <w:t>One caution worth flagging:</w:t>
      </w:r>
      <w:r>
        <w:t xml:space="preserve"> on the calibration target smooth-L2 outscored TV (0.509 vs 0.564), but TV won on both held-out targets (0.362 vs 0.501; 0.547 vs 0.572). The ranking inverted, and the same happens among the networks. A calibration target can tune a method but cannot be used to choose between methods.</w:t>
      </w:r>
    </w:p>
    <w:p>
      <w:pPr>
        <w:pStyle w:val="Heading2"/>
      </w:pPr>
      <w:r>
        <w:t>Second result: average error and structure do not converge together</w:t>
      </w:r>
    </w:p>
    <w:p>
      <w:r>
        <w:t>Fourier ties TV on model error while recovering a 20% smaller anomaly footprint (IoU 0.662 vs 0.826) and placing centroids 2.8x farther from truth (4.7 m vs 1.7 m). On parflow the model errors are indistinguishable while SSIM differs by 28%.</w:t>
      </w:r>
    </w:p>
    <w:p>
      <w:r>
        <w:t>Amplitude and position behave as independent failure modes: CNN-DIP recovers the best anomaly magnitude in the study (0.89 of true log-contrast, above TV's 0.80) at nearly the worst position. Fourier is the mirror image — second-best geometry, weakest amplitude (0.70).</w:t>
      </w:r>
    </w:p>
    <w:p>
      <w:r>
        <w:t>I would not report model error alone for any of these methods.</w:t>
      </w:r>
    </w:p>
    <w:p>
      <w:pPr>
        <w:pStyle w:val="Heading2"/>
      </w:pPr>
      <w:r>
        <w:t>Questions on Stage 2</w:t>
      </w:r>
    </w:p>
    <w:p>
      <w:pPr>
        <w:pStyle w:val="ListNumber"/>
      </w:pPr>
      <w:r>
        <w:rPr>
          <w:b/>
        </w:rPr>
        <w:t>Group 3 scope.</w:t>
      </w:r>
      <w:r>
        <w:t xml:space="preserve"> Which pretrained frameworks do you want first — CNN/U-Net, recurrent, transformer, invertible, physics-guided? These need a training database, which is a different infrastructure problem from Groups 1 and 2, so I would rather build for two or three well than all five thinly.</w:t>
      </w:r>
    </w:p>
    <w:p>
      <w:pPr>
        <w:pStyle w:val="ListNumber"/>
      </w:pPr>
      <w:r>
        <w:rPr>
          <w:b/>
        </w:rPr>
        <w:t>Fixed or variable survey geometry.</w:t>
      </w:r>
      <w:r>
        <w:t xml:space="preserve"> This decides the training-set design. Fixed geometry lets a network learn a direct data-to-model map; variable geometry needs the survey encoded as input and a much larger database. It is the biggest single decision for Stage 2 and I do not want to guess.</w:t>
      </w:r>
    </w:p>
    <w:p>
      <w:pPr>
        <w:pStyle w:val="ListNumber"/>
      </w:pPr>
      <w:r>
        <w:rPr>
          <w:b/>
        </w:rPr>
        <w:t>Training database.</w:t>
      </w:r>
      <w:r>
        <w:t xml:space="preserve"> Should I generate synthetic models (ParFlow-derived, as in the current parflow target), or is there an existing dataset in the group I should use?</w:t>
      </w:r>
    </w:p>
    <w:p>
      <w:pPr>
        <w:pStyle w:val="ListNumber"/>
      </w:pPr>
      <w:r>
        <w:rPr>
          <w:b/>
        </w:rPr>
        <w:t>Inverse crime.</w:t>
      </w:r>
      <w:r>
        <w:t xml:space="preserve"> All current data are generated with the same mesh and solver used to invert them. For Group 3 that becomes more serious, since a pretrained network can learn solver artifacts. Should Stage 2 generate data on a finer mesh and invert on a coarser one?</w:t>
      </w:r>
    </w:p>
    <w:p>
      <w:pPr>
        <w:pStyle w:val="ListNumber"/>
      </w:pPr>
      <w:r>
        <w:rPr>
          <w:b/>
        </w:rPr>
        <w:t>Field data.</w:t>
      </w:r>
      <w:r>
        <w:t xml:space="preserve"> Is the Ashton Prairie survey ready to invert, and would you like that in Stage 2 or held for later?</w:t>
      </w:r>
    </w:p>
    <w:p>
      <w:r>
        <w:t>Happy to talk any of this through.</w:t>
      </w:r>
    </w:p>
    <w:p>
      <w:r>
        <w:t>Best, Miranda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