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E8DF8" w14:textId="083B38E0" w:rsidR="00EC1612" w:rsidRPr="007804BA" w:rsidRDefault="00095BF3">
      <w:pPr>
        <w:rPr>
          <w:b/>
          <w:bCs/>
        </w:rPr>
      </w:pPr>
      <w:r w:rsidRPr="5528AF9D">
        <w:rPr>
          <w:b/>
          <w:bCs/>
        </w:rPr>
        <w:t>1</w:t>
      </w:r>
      <w:r w:rsidR="59AE785F" w:rsidRPr="5528AF9D">
        <w:rPr>
          <w:b/>
          <w:bCs/>
        </w:rPr>
        <w:t>D:</w:t>
      </w:r>
      <w:r w:rsidRPr="5528AF9D">
        <w:rPr>
          <w:b/>
          <w:bCs/>
        </w:rPr>
        <w:t xml:space="preserve"> enzyme activity vs pH</w:t>
      </w:r>
    </w:p>
    <w:p w14:paraId="5032B75E" w14:textId="42977C2B" w:rsidR="007804BA" w:rsidRDefault="007804BA">
      <w:r>
        <w:t xml:space="preserve">Enzymatic activity often </w:t>
      </w:r>
      <w:r w:rsidR="4774C05F">
        <w:t>requires</w:t>
      </w:r>
      <w:r>
        <w:t xml:space="preserve"> that certain groups (amino acids) of the enzyme to be in specific protonation states for the enzyme to </w:t>
      </w:r>
      <w:r w:rsidR="2411BE6D">
        <w:t>catalyse</w:t>
      </w:r>
      <w:r>
        <w:t xml:space="preserve"> the reaction of purpose. If these groups (carboxylic acids, amines, etc) are not in the correct state, the enzyme is inactive.</w:t>
      </w:r>
    </w:p>
    <w:p w14:paraId="2E06A6F5" w14:textId="26F20AA2" w:rsidR="007804BA" w:rsidRDefault="007804BA">
      <w:r>
        <w:t xml:space="preserve">Assuming the enzyme has two ionizable groups with pKa1 and pKa2, and that the group 1 must be </w:t>
      </w:r>
      <w:proofErr w:type="gramStart"/>
      <w:r>
        <w:t>deprotonated</w:t>
      </w:r>
      <w:proofErr w:type="gramEnd"/>
      <w:r>
        <w:t xml:space="preserve"> and group 2 protonated for the enzyme to catalyse the reaction, then the fraction of the enzyme in the correct state is the product of the probability that group 1 is </w:t>
      </w:r>
      <w:r w:rsidR="1C389F17">
        <w:t>deprotonated</w:t>
      </w:r>
      <w:r>
        <w:t xml:space="preserve"> and group 2 protonated.</w:t>
      </w:r>
    </w:p>
    <w:p w14:paraId="1AE64093" w14:textId="10CF4C7E" w:rsidR="007804BA" w:rsidRPr="007804BA" w:rsidRDefault="007D7BAC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active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-pH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pH-p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a2</m:t>
                          </m:r>
                        </m:sub>
                      </m:sSub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60AAC4D3" w14:textId="41082675" w:rsidR="007804BA" w:rsidRDefault="007804BA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64575AD2" w14:textId="7664E4C7" w:rsidR="007804BA" w:rsidRPr="007804BA" w:rsidRDefault="007804B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a2</m:t>
              </m:r>
            </m:sub>
          </m:sSub>
          <m:r>
            <w:rPr>
              <w:rFonts w:ascii="Cambria Math" w:hAnsi="Cambria Math"/>
            </w:rPr>
            <m:t>&gt;p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a1</m:t>
              </m:r>
            </m:sub>
          </m:sSub>
        </m:oMath>
      </m:oMathPara>
    </w:p>
    <w:p w14:paraId="0414D4F7" w14:textId="16B3608E" w:rsidR="007804BA" w:rsidRPr="007804BA" w:rsidRDefault="007804BA">
      <w:r>
        <w:rPr>
          <w:rFonts w:eastAsiaTheme="minorEastAsia"/>
        </w:rPr>
        <w:t>The enzymatic rate can be expressed then as:</w:t>
      </w:r>
    </w:p>
    <w:p w14:paraId="5057E482" w14:textId="60597C2A" w:rsidR="00095BF3" w:rsidRPr="007804BA" w:rsidRDefault="00095BF3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pH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-pH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pH-p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a2</m:t>
                          </m:r>
                        </m:sub>
                      </m:sSub>
                    </m:e>
                  </m:d>
                </m:sup>
              </m:sSup>
            </m:den>
          </m:f>
        </m:oMath>
      </m:oMathPara>
    </w:p>
    <w:p w14:paraId="1FF650E9" w14:textId="1396704E" w:rsidR="007804BA" w:rsidRPr="007804BA" w:rsidRDefault="007804BA" w:rsidP="007804BA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υ=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υ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D8C6EBF" w14:textId="62D62018" w:rsidR="00095BF3" w:rsidRDefault="007804BA" w:rsidP="007804BA">
      <w:pPr>
        <w:rPr>
          <w:rFonts w:ascii="Cambria Math" w:eastAsiaTheme="minorEastAsia" w:hAnsi="Cambria Math"/>
          <w:iCs/>
        </w:rPr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refers to the maximum reaction velocity achievable by the enzyme when the substrate concentration is </w:t>
      </w:r>
      <w:r w:rsidR="00B72FDF">
        <w:t>saturating,</w:t>
      </w:r>
      <w:r>
        <w:t xml:space="preserve"> and the enzyme is in its optimal protonation state (fraction of active enzyme = 1).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comes directly from Michaelis-Menten kinetics as has units of </w:t>
      </w:r>
      <m:oMath>
        <m:r>
          <w:rPr>
            <w:rFonts w:ascii="Cambria Math" w:hAnsi="Cambria Math"/>
          </w:rPr>
          <m:t>mol∙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∙s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ascii="Cambria Math" w:hAnsi="Cambria Math"/>
          <w:i/>
        </w:rPr>
        <w:t xml:space="preserve"> </w:t>
      </w:r>
      <w:r>
        <w:rPr>
          <w:rFonts w:ascii="Cambria Math" w:hAnsi="Cambria Math"/>
          <w:iCs/>
        </w:rPr>
        <w:t xml:space="preserve">or </w:t>
      </w:r>
      <m:oMath>
        <m:r>
          <w:rPr>
            <w:rFonts w:ascii="Cambria Math" w:eastAsiaTheme="minorEastAsia" w:hAnsi="Cambria Math"/>
          </w:rPr>
          <m:t>μmol</m:t>
        </m:r>
        <m:r>
          <m:rPr>
            <m:sty m:val="p"/>
          </m:rP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min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7804BA">
        <w:t xml:space="preserve"> or</w:t>
      </w:r>
      <w:r>
        <w:rPr>
          <w:rFonts w:ascii="Cambria Math" w:eastAsiaTheme="minorEastAsia" w:hAnsi="Cambria Math"/>
          <w:i/>
        </w:rPr>
        <w:t xml:space="preserve"> U</w:t>
      </w:r>
      <w:r>
        <w:rPr>
          <w:rFonts w:ascii="Cambria Math" w:eastAsiaTheme="minorEastAsia" w:hAnsi="Cambria Math"/>
          <w:iCs/>
        </w:rPr>
        <w:t xml:space="preserve"> (1 µmol substrate converted per minute).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Cambria Math" w:eastAsiaTheme="minorEastAsia" w:hAnsi="Cambria Math"/>
        </w:rPr>
        <w:t xml:space="preserve"> depends on assay conditions (substrate type, temperature, pH and enzyme concentration. For practical purposes, we can declare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rFonts w:ascii="Cambria Math" w:eastAsiaTheme="minorEastAsia" w:hAnsi="Cambria Math"/>
        </w:rPr>
        <w:t xml:space="preserve"> as 100 in the present study.</w:t>
      </w:r>
    </w:p>
    <w:p w14:paraId="279C7343" w14:textId="4F778F23" w:rsidR="007804BA" w:rsidRDefault="007804BA" w:rsidP="007804BA">
      <w:pPr>
        <w:rPr>
          <w:iCs/>
        </w:rPr>
      </w:pPr>
      <w:r w:rsidRPr="007804BA">
        <w:rPr>
          <w:iCs/>
        </w:rPr>
        <w:t xml:space="preserve">A well-documented example is pepsin, an aspartic protease that operates optimally in acidic environments. Pepsin's catalytic mechanism involves two aspartate residues in the active site: one must be protonated to act as a general acid, while the other must be deprotonated to function as a general base. This dual requirement leads to a narrow pH range where the enzyme is catalytically competent. Experimental studies have identified two apparent </w:t>
      </w:r>
      <w:proofErr w:type="spellStart"/>
      <w:r w:rsidRPr="007804BA">
        <w:rPr>
          <w:iCs/>
        </w:rPr>
        <w:t>pKa</w:t>
      </w:r>
      <w:proofErr w:type="spellEnd"/>
      <w:r w:rsidRPr="007804BA">
        <w:rPr>
          <w:iCs/>
        </w:rPr>
        <w:t xml:space="preserve"> values for pepsin's active site residues, approximately </w:t>
      </w:r>
      <w:proofErr w:type="spellStart"/>
      <w:r w:rsidRPr="007804BA">
        <w:rPr>
          <w:iCs/>
        </w:rPr>
        <w:t>pKa</w:t>
      </w:r>
      <w:proofErr w:type="spellEnd"/>
      <w:r w:rsidRPr="007804BA">
        <w:rPr>
          <w:iCs/>
        </w:rPr>
        <w:t xml:space="preserve">₁ ≈ 1.6 and </w:t>
      </w:r>
      <w:proofErr w:type="spellStart"/>
      <w:r w:rsidRPr="007804BA">
        <w:rPr>
          <w:iCs/>
        </w:rPr>
        <w:t>pKa</w:t>
      </w:r>
      <w:proofErr w:type="spellEnd"/>
      <w:r w:rsidRPr="007804BA">
        <w:rPr>
          <w:iCs/>
        </w:rPr>
        <w:t xml:space="preserve">₂ ≈ 5.0. The enzyme exhibits maximal activity when the pH lies between these two values, typically around pH 3. This </w:t>
      </w:r>
      <w:r w:rsidR="00B72FDF" w:rsidRPr="007804BA">
        <w:rPr>
          <w:iCs/>
        </w:rPr>
        <w:t>behaviour</w:t>
      </w:r>
      <w:r w:rsidRPr="007804BA">
        <w:rPr>
          <w:iCs/>
        </w:rPr>
        <w:t xml:space="preserve"> is consistent with the theoretical model that describes the fraction of active enzyme as the product of the probabilities that group 1 is deprotonated</w:t>
      </w:r>
      <w:r w:rsidR="09F79DE2">
        <w:t>,</w:t>
      </w:r>
      <w:r w:rsidRPr="007804BA">
        <w:rPr>
          <w:iCs/>
        </w:rPr>
        <w:t xml:space="preserve"> and group 2 is protonated.</w:t>
      </w:r>
    </w:p>
    <w:p w14:paraId="047CFCAE" w14:textId="78B4F192" w:rsidR="007804BA" w:rsidRPr="00B72FDF" w:rsidRDefault="007804BA">
      <w:pPr>
        <w:rPr>
          <w:iCs/>
        </w:rPr>
      </w:pPr>
      <w:r>
        <w:rPr>
          <w:iCs/>
        </w:rPr>
        <w:t>Alternatively, assuming data are noisy measurements of the rate, Markov chain Monte Carlo (</w:t>
      </w:r>
      <w:proofErr w:type="spellStart"/>
      <w:r>
        <w:rPr>
          <w:iCs/>
        </w:rPr>
        <w:t>PyMC</w:t>
      </w:r>
      <w:proofErr w:type="spellEnd"/>
      <w:r>
        <w:rPr>
          <w:iCs/>
        </w:rPr>
        <w:t xml:space="preserve">) could be used to estimate the function parameters,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a1</m:t>
            </m:r>
          </m:sub>
        </m:sSub>
      </m:oMath>
      <w:r>
        <w:rPr>
          <w:iCs/>
        </w:rPr>
        <w:t xml:space="preserve">,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a2</m:t>
            </m:r>
          </m:sub>
        </m:sSub>
      </m:oMath>
      <w:r>
        <w:rPr>
          <w:rFonts w:eastAsiaTheme="minorEastAsia"/>
        </w:rPr>
        <w:t xml:space="preserve"> </w:t>
      </w:r>
      <w:r>
        <w:rPr>
          <w:iCs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υ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rPr>
          <w:iCs/>
        </w:rPr>
        <w:t>.</w:t>
      </w:r>
    </w:p>
    <w:sectPr w:rsidR="007804BA" w:rsidRPr="00B72FDF" w:rsidSect="00892BF6">
      <w:pgSz w:w="12240" w:h="15840"/>
      <w:pgMar w:top="1418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F3"/>
    <w:rsid w:val="00016BD1"/>
    <w:rsid w:val="00061825"/>
    <w:rsid w:val="00095BF3"/>
    <w:rsid w:val="000E0DB5"/>
    <w:rsid w:val="000E2046"/>
    <w:rsid w:val="0010746B"/>
    <w:rsid w:val="00146062"/>
    <w:rsid w:val="001B538F"/>
    <w:rsid w:val="001D07F0"/>
    <w:rsid w:val="00201762"/>
    <w:rsid w:val="00217814"/>
    <w:rsid w:val="002357A7"/>
    <w:rsid w:val="002501CF"/>
    <w:rsid w:val="00301075"/>
    <w:rsid w:val="00316479"/>
    <w:rsid w:val="00342F2A"/>
    <w:rsid w:val="00374381"/>
    <w:rsid w:val="003C681D"/>
    <w:rsid w:val="00437369"/>
    <w:rsid w:val="00451AE6"/>
    <w:rsid w:val="00570943"/>
    <w:rsid w:val="005C7218"/>
    <w:rsid w:val="00635071"/>
    <w:rsid w:val="006B523B"/>
    <w:rsid w:val="007127D3"/>
    <w:rsid w:val="0074006B"/>
    <w:rsid w:val="00776189"/>
    <w:rsid w:val="007804BA"/>
    <w:rsid w:val="00792638"/>
    <w:rsid w:val="00795399"/>
    <w:rsid w:val="007A22C2"/>
    <w:rsid w:val="007B5A7B"/>
    <w:rsid w:val="007D7BAC"/>
    <w:rsid w:val="007E7D1B"/>
    <w:rsid w:val="00892BF6"/>
    <w:rsid w:val="008B7F3C"/>
    <w:rsid w:val="00952C97"/>
    <w:rsid w:val="00976CA4"/>
    <w:rsid w:val="00A11A68"/>
    <w:rsid w:val="00A42CD3"/>
    <w:rsid w:val="00A93EF2"/>
    <w:rsid w:val="00B67DC6"/>
    <w:rsid w:val="00B72FDF"/>
    <w:rsid w:val="00B751B0"/>
    <w:rsid w:val="00BB7623"/>
    <w:rsid w:val="00BB7F98"/>
    <w:rsid w:val="00BE31E8"/>
    <w:rsid w:val="00BF1814"/>
    <w:rsid w:val="00BF2F58"/>
    <w:rsid w:val="00C64F61"/>
    <w:rsid w:val="00CC43FE"/>
    <w:rsid w:val="00CC6218"/>
    <w:rsid w:val="00CF5747"/>
    <w:rsid w:val="00DE0316"/>
    <w:rsid w:val="00E06A90"/>
    <w:rsid w:val="00E201F0"/>
    <w:rsid w:val="00E3559B"/>
    <w:rsid w:val="00E432D7"/>
    <w:rsid w:val="00E553A2"/>
    <w:rsid w:val="00EC1612"/>
    <w:rsid w:val="00F035D5"/>
    <w:rsid w:val="00F10593"/>
    <w:rsid w:val="09F79DE2"/>
    <w:rsid w:val="1719EE18"/>
    <w:rsid w:val="1C389F17"/>
    <w:rsid w:val="2411BE6D"/>
    <w:rsid w:val="4774C05F"/>
    <w:rsid w:val="4B67AF82"/>
    <w:rsid w:val="5528AF9D"/>
    <w:rsid w:val="59AE7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EBB60A"/>
  <w15:chartTrackingRefBased/>
  <w15:docId w15:val="{26120D72-5D79-492B-8B8A-9C94C596E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F3"/>
    <w:pPr>
      <w:spacing w:after="300" w:line="264" w:lineRule="auto"/>
      <w:jc w:val="both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201762"/>
    <w:pPr>
      <w:keepNext/>
      <w:keepLines/>
      <w:spacing w:before="120" w:after="240"/>
      <w:outlineLvl w:val="0"/>
    </w:pPr>
    <w:rPr>
      <w:rFonts w:ascii="Cambria" w:eastAsiaTheme="majorEastAsia" w:hAnsi="Cambr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1762"/>
    <w:pPr>
      <w:keepNext/>
      <w:keepLines/>
      <w:spacing w:before="120" w:after="120"/>
      <w:outlineLvl w:val="1"/>
    </w:pPr>
    <w:rPr>
      <w:rFonts w:eastAsiaTheme="majorEastAsia" w:cstheme="majorBidi"/>
      <w:color w:val="C00000"/>
      <w:sz w:val="28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1762"/>
    <w:rPr>
      <w:rFonts w:ascii="Cambria" w:eastAsiaTheme="majorEastAsia" w:hAnsi="Cambria" w:cstheme="majorBidi"/>
      <w:color w:val="C00000"/>
      <w:sz w:val="32"/>
      <w:szCs w:val="32"/>
      <w:lang w:val="en-GB"/>
    </w:rPr>
  </w:style>
  <w:style w:type="character" w:customStyle="1" w:styleId="Titre2Car">
    <w:name w:val="Titre 2 Car"/>
    <w:basedOn w:val="Policepardfaut"/>
    <w:link w:val="Titre2"/>
    <w:uiPriority w:val="9"/>
    <w:semiHidden/>
    <w:rsid w:val="00201762"/>
    <w:rPr>
      <w:rFonts w:ascii="Calibri" w:eastAsiaTheme="majorEastAsia" w:hAnsi="Calibri" w:cstheme="majorBidi"/>
      <w:color w:val="C00000"/>
      <w:sz w:val="28"/>
      <w:szCs w:val="26"/>
      <w:lang w:val="en-GB"/>
    </w:rPr>
  </w:style>
  <w:style w:type="character" w:styleId="Textedelespacerserv">
    <w:name w:val="Placeholder Text"/>
    <w:basedOn w:val="Policepardfaut"/>
    <w:uiPriority w:val="99"/>
    <w:semiHidden/>
    <w:rsid w:val="00095B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4593b6e-8994-43c5-a486-e951b5f02cec}" enabled="1" method="Privileged" siteId="{329e91b0-e21f-48fb-a071-456717ecc28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376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CURULLA-FERRE</dc:creator>
  <cp:keywords/>
  <dc:description/>
  <cp:lastModifiedBy>Nadjime MMADI DAROUECHE</cp:lastModifiedBy>
  <cp:revision>3</cp:revision>
  <dcterms:created xsi:type="dcterms:W3CDTF">2025-10-01T12:25:00Z</dcterms:created>
  <dcterms:modified xsi:type="dcterms:W3CDTF">2025-10-01T12:25:00Z</dcterms:modified>
</cp:coreProperties>
</file>