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34652" w14:textId="610A6F2C" w:rsidR="00DC3384" w:rsidRDefault="00824F9C" w:rsidP="00A4033E">
      <w:pPr>
        <w:pStyle w:val="NoSpacing"/>
        <w:jc w:val="center"/>
        <w:rPr>
          <w:rFonts w:cs="Times New Roman"/>
          <w:b/>
          <w:sz w:val="20"/>
          <w:szCs w:val="20"/>
        </w:rPr>
      </w:pPr>
      <w:r>
        <w:rPr>
          <w:rFonts w:cs="Times New Roman"/>
          <w:b/>
          <w:sz w:val="20"/>
          <w:szCs w:val="20"/>
        </w:rPr>
        <w:t>GREEN TOYS</w:t>
      </w:r>
    </w:p>
    <w:p w14:paraId="08593255" w14:textId="2135349C" w:rsidR="00A4033E" w:rsidRDefault="00C642FA" w:rsidP="00A4033E">
      <w:pPr>
        <w:pStyle w:val="NoSpacing"/>
        <w:jc w:val="center"/>
        <w:rPr>
          <w:rFonts w:cs="Times New Roman"/>
          <w:b/>
          <w:sz w:val="20"/>
          <w:szCs w:val="20"/>
        </w:rPr>
      </w:pPr>
      <w:r>
        <w:rPr>
          <w:rFonts w:cs="Times New Roman"/>
          <w:b/>
          <w:sz w:val="20"/>
          <w:szCs w:val="20"/>
        </w:rPr>
        <w:t>Procure to Pay</w:t>
      </w:r>
      <w:r w:rsidR="00A4033E">
        <w:rPr>
          <w:rFonts w:cs="Times New Roman"/>
          <w:b/>
          <w:sz w:val="20"/>
          <w:szCs w:val="20"/>
        </w:rPr>
        <w:t xml:space="preserve"> Policy</w:t>
      </w:r>
    </w:p>
    <w:p w14:paraId="5316E524" w14:textId="77777777" w:rsidR="001A001C" w:rsidRPr="0073183E" w:rsidRDefault="001A001C" w:rsidP="00E81EF1">
      <w:pPr>
        <w:pStyle w:val="NoSpacing"/>
        <w:rPr>
          <w:rFonts w:cs="Times New Roman"/>
          <w:sz w:val="20"/>
          <w:szCs w:val="20"/>
        </w:rPr>
      </w:pPr>
    </w:p>
    <w:p w14:paraId="5A906640" w14:textId="54984345" w:rsidR="00D9373B" w:rsidRPr="0073183E" w:rsidRDefault="00D9373B" w:rsidP="00E81EF1">
      <w:pPr>
        <w:pStyle w:val="NoSpacing"/>
        <w:rPr>
          <w:rFonts w:cs="Times New Roman"/>
          <w:sz w:val="20"/>
          <w:szCs w:val="20"/>
        </w:rPr>
      </w:pPr>
      <w:r w:rsidRPr="0073183E">
        <w:rPr>
          <w:rFonts w:cs="Times New Roman"/>
          <w:sz w:val="20"/>
          <w:szCs w:val="20"/>
        </w:rPr>
        <w:t>Date:</w:t>
      </w:r>
      <w:r w:rsidR="00A9309E" w:rsidRPr="0073183E">
        <w:rPr>
          <w:rFonts w:cs="Times New Roman"/>
          <w:sz w:val="20"/>
          <w:szCs w:val="20"/>
        </w:rPr>
        <w:t xml:space="preserve"> </w:t>
      </w:r>
      <w:r w:rsidR="00824F9C">
        <w:rPr>
          <w:rFonts w:cs="Times New Roman"/>
          <w:sz w:val="20"/>
          <w:szCs w:val="20"/>
        </w:rPr>
        <w:t>June 13, 2017</w:t>
      </w:r>
    </w:p>
    <w:p w14:paraId="70AF8695" w14:textId="77777777" w:rsidR="00757404" w:rsidRPr="0073183E" w:rsidRDefault="00757404" w:rsidP="00E81EF1">
      <w:pPr>
        <w:pStyle w:val="NoSpacing"/>
        <w:rPr>
          <w:rFonts w:cs="Times New Roman"/>
          <w:sz w:val="20"/>
          <w:szCs w:val="20"/>
        </w:rPr>
      </w:pPr>
    </w:p>
    <w:p w14:paraId="18CAE590" w14:textId="1036BA43" w:rsidR="00D9373B" w:rsidRPr="0073183E" w:rsidRDefault="009C6668" w:rsidP="00E81EF1">
      <w:pPr>
        <w:pStyle w:val="NoSpacing"/>
        <w:rPr>
          <w:rFonts w:cs="Times New Roman"/>
          <w:sz w:val="20"/>
          <w:szCs w:val="20"/>
        </w:rPr>
      </w:pPr>
      <w:r w:rsidRPr="0073183E">
        <w:rPr>
          <w:rFonts w:cs="Times New Roman"/>
          <w:sz w:val="20"/>
          <w:szCs w:val="20"/>
        </w:rPr>
        <w:t xml:space="preserve">Prepared by: </w:t>
      </w:r>
      <w:r w:rsidR="00DD18D3" w:rsidRPr="0073183E">
        <w:rPr>
          <w:rFonts w:cs="Times New Roman"/>
          <w:sz w:val="20"/>
          <w:szCs w:val="20"/>
        </w:rPr>
        <w:t>Lisa Slater</w:t>
      </w:r>
    </w:p>
    <w:p w14:paraId="3AD57A4A" w14:textId="77777777" w:rsidR="00757404" w:rsidRPr="0073183E" w:rsidRDefault="00757404" w:rsidP="00E81EF1">
      <w:pPr>
        <w:pStyle w:val="NoSpacing"/>
        <w:rPr>
          <w:rFonts w:cs="Times New Roman"/>
          <w:sz w:val="20"/>
          <w:szCs w:val="20"/>
        </w:rPr>
      </w:pPr>
    </w:p>
    <w:p w14:paraId="4FD3CB4A" w14:textId="7FEE0FEE" w:rsidR="00D9373B" w:rsidRPr="0073183E" w:rsidRDefault="00D9373B" w:rsidP="00E81EF1">
      <w:pPr>
        <w:pStyle w:val="NoSpacing"/>
        <w:rPr>
          <w:rFonts w:cs="Times New Roman"/>
          <w:sz w:val="20"/>
          <w:szCs w:val="20"/>
        </w:rPr>
      </w:pPr>
      <w:r w:rsidRPr="0073183E">
        <w:rPr>
          <w:rFonts w:cs="Times New Roman"/>
          <w:sz w:val="20"/>
          <w:szCs w:val="20"/>
        </w:rPr>
        <w:t xml:space="preserve">Reviewed by: </w:t>
      </w:r>
      <w:r w:rsidR="00824F9C">
        <w:rPr>
          <w:rFonts w:cs="Times New Roman"/>
          <w:sz w:val="20"/>
          <w:szCs w:val="20"/>
        </w:rPr>
        <w:t>Charlie Friend</w:t>
      </w:r>
    </w:p>
    <w:p w14:paraId="0B2AAB9B" w14:textId="77777777" w:rsidR="00A34ECC" w:rsidRPr="0073183E" w:rsidRDefault="00A34ECC" w:rsidP="00E81EF1">
      <w:pPr>
        <w:pStyle w:val="NoSpacing"/>
        <w:rPr>
          <w:rFonts w:cs="Times New Roman"/>
          <w:sz w:val="20"/>
          <w:szCs w:val="20"/>
        </w:rPr>
      </w:pPr>
    </w:p>
    <w:p w14:paraId="2687CF6D" w14:textId="26DB4A0D" w:rsidR="00EF7EA4" w:rsidRDefault="003E1DCC" w:rsidP="00F92B5A">
      <w:pPr>
        <w:pStyle w:val="NoSpacing"/>
        <w:numPr>
          <w:ilvl w:val="0"/>
          <w:numId w:val="14"/>
        </w:numPr>
        <w:rPr>
          <w:rFonts w:cs="Times New Roman"/>
          <w:b/>
          <w:sz w:val="20"/>
          <w:szCs w:val="20"/>
        </w:rPr>
      </w:pPr>
      <w:r w:rsidRPr="00A4033E">
        <w:rPr>
          <w:rFonts w:cs="Times New Roman"/>
          <w:b/>
          <w:sz w:val="20"/>
          <w:szCs w:val="20"/>
        </w:rPr>
        <w:t>Policy</w:t>
      </w:r>
    </w:p>
    <w:p w14:paraId="45B4A618" w14:textId="15D9BA5D" w:rsidR="00A4033E" w:rsidRDefault="00A4033E" w:rsidP="00A4033E">
      <w:pPr>
        <w:pStyle w:val="NoSpacing"/>
        <w:rPr>
          <w:rFonts w:cs="Times New Roman"/>
          <w:b/>
          <w:sz w:val="20"/>
          <w:szCs w:val="20"/>
        </w:rPr>
      </w:pPr>
    </w:p>
    <w:p w14:paraId="5CCF333D" w14:textId="62CDD783" w:rsidR="00A4033E" w:rsidRDefault="00A4033E" w:rsidP="00A4033E">
      <w:pPr>
        <w:pStyle w:val="NoSpacing"/>
        <w:rPr>
          <w:rFonts w:cs="Times New Roman"/>
          <w:b/>
          <w:sz w:val="20"/>
          <w:szCs w:val="20"/>
        </w:rPr>
      </w:pPr>
      <w:r w:rsidRPr="00A4033E">
        <w:rPr>
          <w:rFonts w:cs="Times New Roman"/>
          <w:sz w:val="20"/>
          <w:szCs w:val="20"/>
          <w:u w:val="single"/>
        </w:rPr>
        <w:t>Introduction</w:t>
      </w:r>
      <w:r>
        <w:rPr>
          <w:rFonts w:cs="Times New Roman"/>
          <w:b/>
          <w:sz w:val="20"/>
          <w:szCs w:val="20"/>
        </w:rPr>
        <w:t>:</w:t>
      </w:r>
    </w:p>
    <w:p w14:paraId="3A0ADC70" w14:textId="77777777" w:rsidR="00BA4067" w:rsidRDefault="00BA4067" w:rsidP="006C2C3F">
      <w:pPr>
        <w:pStyle w:val="NoSpacing"/>
        <w:rPr>
          <w:rFonts w:cs="Times New Roman"/>
          <w:sz w:val="20"/>
          <w:szCs w:val="20"/>
        </w:rPr>
      </w:pPr>
    </w:p>
    <w:p w14:paraId="0DB78638" w14:textId="1218819F" w:rsidR="006C2C3F" w:rsidRDefault="00824F9C" w:rsidP="006C2C3F">
      <w:pPr>
        <w:pStyle w:val="NoSpacing"/>
        <w:rPr>
          <w:rFonts w:cs="Times New Roman"/>
          <w:sz w:val="20"/>
          <w:szCs w:val="20"/>
        </w:rPr>
      </w:pPr>
      <w:r>
        <w:rPr>
          <w:rFonts w:cs="Times New Roman"/>
          <w:sz w:val="20"/>
          <w:szCs w:val="20"/>
        </w:rPr>
        <w:t>Green Toys’</w:t>
      </w:r>
      <w:r w:rsidR="006C2C3F">
        <w:rPr>
          <w:rFonts w:cs="Times New Roman"/>
          <w:sz w:val="20"/>
          <w:szCs w:val="20"/>
        </w:rPr>
        <w:t xml:space="preserve"> Procure to Pay Policy has been developed to ensure there are strong internal controls in place over the disbursement of cash, selection of vendors, and review / authorization of purchase commitments and payments of AP to vendors made on </w:t>
      </w:r>
      <w:r>
        <w:rPr>
          <w:rFonts w:cs="Times New Roman"/>
          <w:sz w:val="20"/>
          <w:szCs w:val="20"/>
        </w:rPr>
        <w:t>Green Toys</w:t>
      </w:r>
      <w:r w:rsidR="006C2C3F">
        <w:rPr>
          <w:rFonts w:cs="Times New Roman"/>
          <w:sz w:val="20"/>
          <w:szCs w:val="20"/>
        </w:rPr>
        <w:t xml:space="preserve"> behalf.      </w:t>
      </w:r>
    </w:p>
    <w:p w14:paraId="73873C58" w14:textId="76EE047B" w:rsidR="006C2C3F" w:rsidRDefault="006C2C3F" w:rsidP="00A4033E">
      <w:pPr>
        <w:pStyle w:val="NoSpacing"/>
        <w:rPr>
          <w:rFonts w:cs="Times New Roman"/>
          <w:sz w:val="20"/>
          <w:szCs w:val="20"/>
        </w:rPr>
      </w:pPr>
    </w:p>
    <w:p w14:paraId="3774D1A2" w14:textId="0DBAD58E" w:rsidR="00A4033E" w:rsidRPr="00A4033E" w:rsidRDefault="00A4033E" w:rsidP="00A4033E">
      <w:pPr>
        <w:pStyle w:val="NoSpacing"/>
        <w:rPr>
          <w:rFonts w:cs="Times New Roman"/>
          <w:sz w:val="20"/>
          <w:szCs w:val="20"/>
          <w:u w:val="single"/>
        </w:rPr>
      </w:pPr>
      <w:r>
        <w:rPr>
          <w:rFonts w:cs="Times New Roman"/>
          <w:sz w:val="20"/>
          <w:szCs w:val="20"/>
          <w:u w:val="single"/>
        </w:rPr>
        <w:t>Scope:</w:t>
      </w:r>
    </w:p>
    <w:p w14:paraId="703B3C3C" w14:textId="77777777" w:rsidR="00BA4067" w:rsidRDefault="00BA4067" w:rsidP="00A4033E">
      <w:pPr>
        <w:pStyle w:val="NoSpacing"/>
        <w:rPr>
          <w:rFonts w:cs="Times New Roman"/>
          <w:sz w:val="20"/>
          <w:szCs w:val="20"/>
        </w:rPr>
      </w:pPr>
    </w:p>
    <w:p w14:paraId="466D5689" w14:textId="2977B3D8" w:rsidR="006C2C3F" w:rsidRDefault="00A4033E" w:rsidP="00A4033E">
      <w:pPr>
        <w:pStyle w:val="NoSpacing"/>
        <w:rPr>
          <w:rFonts w:cs="Times New Roman"/>
          <w:sz w:val="20"/>
          <w:szCs w:val="20"/>
        </w:rPr>
      </w:pPr>
      <w:r w:rsidRPr="00A4033E">
        <w:rPr>
          <w:rFonts w:cs="Times New Roman"/>
          <w:sz w:val="20"/>
          <w:szCs w:val="20"/>
        </w:rPr>
        <w:t xml:space="preserve">This Policy </w:t>
      </w:r>
      <w:r w:rsidR="006C2C3F">
        <w:rPr>
          <w:rFonts w:cs="Times New Roman"/>
          <w:sz w:val="20"/>
          <w:szCs w:val="20"/>
        </w:rPr>
        <w:t>provides direction for the creation, tracking and maintenance of purchase requisitions, purchase orders, and vendor payments for the purchase or lease of all goods and services, including:</w:t>
      </w:r>
    </w:p>
    <w:p w14:paraId="1A6ABC9B" w14:textId="2DD5B6F6" w:rsidR="006C2C3F" w:rsidRDefault="006C2C3F" w:rsidP="00A4033E">
      <w:pPr>
        <w:pStyle w:val="NoSpacing"/>
        <w:rPr>
          <w:rFonts w:cs="Times New Roman"/>
          <w:sz w:val="20"/>
          <w:szCs w:val="20"/>
        </w:rPr>
      </w:pPr>
    </w:p>
    <w:p w14:paraId="5D359286" w14:textId="6B4303FB" w:rsidR="00824F9C" w:rsidRDefault="00824F9C" w:rsidP="009808E8">
      <w:pPr>
        <w:pStyle w:val="NoSpacing"/>
        <w:numPr>
          <w:ilvl w:val="0"/>
          <w:numId w:val="27"/>
        </w:numPr>
        <w:rPr>
          <w:rFonts w:cs="Times New Roman"/>
          <w:sz w:val="20"/>
          <w:szCs w:val="20"/>
        </w:rPr>
      </w:pPr>
      <w:r>
        <w:rPr>
          <w:rFonts w:cs="Times New Roman"/>
          <w:sz w:val="20"/>
          <w:szCs w:val="20"/>
        </w:rPr>
        <w:t>Inventory.</w:t>
      </w:r>
    </w:p>
    <w:p w14:paraId="628A559D" w14:textId="77777777" w:rsidR="009808E8" w:rsidRDefault="009808E8" w:rsidP="009808E8">
      <w:pPr>
        <w:pStyle w:val="NoSpacing"/>
        <w:numPr>
          <w:ilvl w:val="0"/>
          <w:numId w:val="27"/>
        </w:numPr>
        <w:rPr>
          <w:rFonts w:cs="Times New Roman"/>
          <w:sz w:val="20"/>
          <w:szCs w:val="20"/>
        </w:rPr>
      </w:pPr>
      <w:r>
        <w:rPr>
          <w:rFonts w:cs="Times New Roman"/>
          <w:sz w:val="20"/>
          <w:szCs w:val="20"/>
        </w:rPr>
        <w:t>Capital equipment.</w:t>
      </w:r>
    </w:p>
    <w:p w14:paraId="27E7F674" w14:textId="77777777" w:rsidR="009808E8" w:rsidRDefault="009808E8" w:rsidP="009808E8">
      <w:pPr>
        <w:pStyle w:val="NoSpacing"/>
        <w:numPr>
          <w:ilvl w:val="0"/>
          <w:numId w:val="27"/>
        </w:numPr>
        <w:rPr>
          <w:rFonts w:cs="Times New Roman"/>
          <w:sz w:val="20"/>
          <w:szCs w:val="20"/>
        </w:rPr>
      </w:pPr>
      <w:r>
        <w:rPr>
          <w:rFonts w:cs="Times New Roman"/>
          <w:sz w:val="20"/>
          <w:szCs w:val="20"/>
        </w:rPr>
        <w:t>Office supplies.</w:t>
      </w:r>
    </w:p>
    <w:p w14:paraId="6092962A" w14:textId="77777777" w:rsidR="009808E8" w:rsidRDefault="009808E8" w:rsidP="009808E8">
      <w:pPr>
        <w:pStyle w:val="NoSpacing"/>
        <w:numPr>
          <w:ilvl w:val="0"/>
          <w:numId w:val="27"/>
        </w:numPr>
        <w:rPr>
          <w:rFonts w:cs="Times New Roman"/>
          <w:sz w:val="20"/>
          <w:szCs w:val="20"/>
        </w:rPr>
      </w:pPr>
      <w:r>
        <w:rPr>
          <w:rFonts w:cs="Times New Roman"/>
          <w:sz w:val="20"/>
          <w:szCs w:val="20"/>
        </w:rPr>
        <w:t>Maintenance.</w:t>
      </w:r>
    </w:p>
    <w:p w14:paraId="595E53AE" w14:textId="77777777" w:rsidR="009808E8" w:rsidRDefault="009808E8" w:rsidP="009808E8">
      <w:pPr>
        <w:pStyle w:val="NoSpacing"/>
        <w:numPr>
          <w:ilvl w:val="0"/>
          <w:numId w:val="27"/>
        </w:numPr>
        <w:rPr>
          <w:rFonts w:cs="Times New Roman"/>
          <w:sz w:val="20"/>
          <w:szCs w:val="20"/>
        </w:rPr>
      </w:pPr>
      <w:r>
        <w:rPr>
          <w:rFonts w:cs="Times New Roman"/>
          <w:sz w:val="20"/>
          <w:szCs w:val="20"/>
        </w:rPr>
        <w:t>Facilities expense.</w:t>
      </w:r>
    </w:p>
    <w:p w14:paraId="635534D4" w14:textId="77777777" w:rsidR="009808E8" w:rsidRDefault="009808E8" w:rsidP="009808E8">
      <w:pPr>
        <w:pStyle w:val="NoSpacing"/>
        <w:numPr>
          <w:ilvl w:val="0"/>
          <w:numId w:val="27"/>
        </w:numPr>
        <w:rPr>
          <w:rFonts w:cs="Times New Roman"/>
          <w:sz w:val="20"/>
          <w:szCs w:val="20"/>
        </w:rPr>
      </w:pPr>
      <w:r>
        <w:rPr>
          <w:rFonts w:cs="Times New Roman"/>
          <w:sz w:val="20"/>
          <w:szCs w:val="20"/>
        </w:rPr>
        <w:t>Software.</w:t>
      </w:r>
    </w:p>
    <w:p w14:paraId="2A217B53" w14:textId="2BAAC8AC" w:rsidR="009808E8" w:rsidRDefault="009808E8" w:rsidP="009808E8">
      <w:pPr>
        <w:pStyle w:val="NoSpacing"/>
        <w:numPr>
          <w:ilvl w:val="0"/>
          <w:numId w:val="27"/>
        </w:numPr>
        <w:rPr>
          <w:rFonts w:cs="Times New Roman"/>
          <w:sz w:val="20"/>
          <w:szCs w:val="20"/>
        </w:rPr>
      </w:pPr>
      <w:r>
        <w:rPr>
          <w:rFonts w:cs="Times New Roman"/>
          <w:sz w:val="20"/>
          <w:szCs w:val="20"/>
        </w:rPr>
        <w:t>C</w:t>
      </w:r>
      <w:r w:rsidR="006C2C3F" w:rsidRPr="006C2C3F">
        <w:rPr>
          <w:rFonts w:cs="Times New Roman"/>
          <w:sz w:val="20"/>
          <w:szCs w:val="20"/>
        </w:rPr>
        <w:t>onsulting</w:t>
      </w:r>
      <w:r>
        <w:rPr>
          <w:rFonts w:cs="Times New Roman"/>
          <w:sz w:val="20"/>
          <w:szCs w:val="20"/>
        </w:rPr>
        <w:t xml:space="preserve"> and professional services.</w:t>
      </w:r>
    </w:p>
    <w:p w14:paraId="2FE66D06" w14:textId="77777777" w:rsidR="009808E8" w:rsidRDefault="009808E8" w:rsidP="009808E8">
      <w:pPr>
        <w:pStyle w:val="NoSpacing"/>
        <w:numPr>
          <w:ilvl w:val="0"/>
          <w:numId w:val="27"/>
        </w:numPr>
        <w:rPr>
          <w:rFonts w:cs="Times New Roman"/>
          <w:sz w:val="20"/>
          <w:szCs w:val="20"/>
        </w:rPr>
      </w:pPr>
      <w:r>
        <w:rPr>
          <w:rFonts w:cs="Times New Roman"/>
          <w:sz w:val="20"/>
          <w:szCs w:val="20"/>
        </w:rPr>
        <w:t>A</w:t>
      </w:r>
      <w:r w:rsidR="006C2C3F" w:rsidRPr="006C2C3F">
        <w:rPr>
          <w:rFonts w:cs="Times New Roman"/>
          <w:sz w:val="20"/>
          <w:szCs w:val="20"/>
        </w:rPr>
        <w:t>dvertising</w:t>
      </w:r>
      <w:r>
        <w:rPr>
          <w:rFonts w:cs="Times New Roman"/>
          <w:sz w:val="20"/>
          <w:szCs w:val="20"/>
        </w:rPr>
        <w:t xml:space="preserve"> and marketing expenses.</w:t>
      </w:r>
    </w:p>
    <w:p w14:paraId="4F229293" w14:textId="77777777" w:rsidR="009808E8" w:rsidRDefault="009808E8" w:rsidP="009808E8">
      <w:pPr>
        <w:pStyle w:val="NoSpacing"/>
        <w:numPr>
          <w:ilvl w:val="0"/>
          <w:numId w:val="27"/>
        </w:numPr>
        <w:rPr>
          <w:rFonts w:cs="Times New Roman"/>
          <w:sz w:val="20"/>
          <w:szCs w:val="20"/>
        </w:rPr>
      </w:pPr>
      <w:r>
        <w:rPr>
          <w:rFonts w:cs="Times New Roman"/>
          <w:sz w:val="20"/>
          <w:szCs w:val="20"/>
        </w:rPr>
        <w:t>C</w:t>
      </w:r>
      <w:r w:rsidR="006C2C3F" w:rsidRPr="006C2C3F">
        <w:rPr>
          <w:rFonts w:cs="Times New Roman"/>
          <w:sz w:val="20"/>
          <w:szCs w:val="20"/>
        </w:rPr>
        <w:t>orporate card purchases</w:t>
      </w:r>
      <w:r>
        <w:rPr>
          <w:rFonts w:cs="Times New Roman"/>
          <w:sz w:val="20"/>
          <w:szCs w:val="20"/>
        </w:rPr>
        <w:t>.</w:t>
      </w:r>
    </w:p>
    <w:p w14:paraId="5DC5B6B7" w14:textId="77777777" w:rsidR="009808E8" w:rsidRDefault="009808E8" w:rsidP="009808E8">
      <w:pPr>
        <w:pStyle w:val="NoSpacing"/>
        <w:rPr>
          <w:rFonts w:cs="Times New Roman"/>
          <w:sz w:val="20"/>
          <w:szCs w:val="20"/>
        </w:rPr>
      </w:pPr>
    </w:p>
    <w:p w14:paraId="65A787BD" w14:textId="2162939D" w:rsidR="006C2C3F" w:rsidRPr="009808E8" w:rsidRDefault="006C2C3F" w:rsidP="009808E8">
      <w:pPr>
        <w:pStyle w:val="NoSpacing"/>
        <w:rPr>
          <w:rFonts w:cs="Times New Roman"/>
          <w:sz w:val="20"/>
          <w:szCs w:val="20"/>
        </w:rPr>
      </w:pPr>
      <w:r w:rsidRPr="009808E8">
        <w:rPr>
          <w:rFonts w:cs="Times New Roman"/>
          <w:sz w:val="20"/>
          <w:szCs w:val="20"/>
        </w:rPr>
        <w:t>The policy’s goal is to ensure that adequate controls are in place to minimize the risk of:</w:t>
      </w:r>
    </w:p>
    <w:p w14:paraId="4D9F477E" w14:textId="078256D7" w:rsidR="006C2C3F" w:rsidRDefault="006C2C3F" w:rsidP="00A4033E">
      <w:pPr>
        <w:pStyle w:val="NoSpacing"/>
        <w:rPr>
          <w:rFonts w:cs="Times New Roman"/>
          <w:sz w:val="20"/>
          <w:szCs w:val="20"/>
        </w:rPr>
      </w:pPr>
    </w:p>
    <w:p w14:paraId="32C2AD81" w14:textId="2BB114D3" w:rsidR="006C2C3F" w:rsidRDefault="006C2C3F" w:rsidP="006C2C3F">
      <w:pPr>
        <w:pStyle w:val="NoSpacing"/>
        <w:numPr>
          <w:ilvl w:val="0"/>
          <w:numId w:val="26"/>
        </w:numPr>
        <w:rPr>
          <w:rFonts w:cs="Times New Roman"/>
          <w:sz w:val="20"/>
          <w:szCs w:val="20"/>
        </w:rPr>
      </w:pPr>
      <w:r>
        <w:rPr>
          <w:rFonts w:cs="Times New Roman"/>
          <w:sz w:val="20"/>
          <w:szCs w:val="20"/>
        </w:rPr>
        <w:t>Inappropriate vendor selection, including the avoidance of conflicts of interest and</w:t>
      </w:r>
      <w:r w:rsidR="002823CF">
        <w:rPr>
          <w:rFonts w:cs="Times New Roman"/>
          <w:sz w:val="20"/>
          <w:szCs w:val="20"/>
        </w:rPr>
        <w:t xml:space="preserve"> non-</w:t>
      </w:r>
      <w:r>
        <w:rPr>
          <w:rFonts w:cs="Times New Roman"/>
          <w:sz w:val="20"/>
          <w:szCs w:val="20"/>
        </w:rPr>
        <w:t>conformity with laws and regulations.</w:t>
      </w:r>
    </w:p>
    <w:p w14:paraId="08EC1B2F" w14:textId="5EC5E7E6" w:rsidR="006C2C3F" w:rsidRDefault="006C2C3F" w:rsidP="001754D2">
      <w:pPr>
        <w:pStyle w:val="NoSpacing"/>
        <w:numPr>
          <w:ilvl w:val="0"/>
          <w:numId w:val="26"/>
        </w:numPr>
        <w:rPr>
          <w:rFonts w:cs="Times New Roman"/>
          <w:sz w:val="20"/>
          <w:szCs w:val="20"/>
        </w:rPr>
      </w:pPr>
      <w:r w:rsidRPr="006C2C3F">
        <w:rPr>
          <w:rFonts w:cs="Times New Roman"/>
          <w:sz w:val="20"/>
          <w:szCs w:val="20"/>
        </w:rPr>
        <w:t xml:space="preserve"> </w:t>
      </w:r>
      <w:r w:rsidR="001754D2" w:rsidRPr="001754D2">
        <w:rPr>
          <w:rFonts w:cs="Times New Roman"/>
          <w:sz w:val="20"/>
          <w:szCs w:val="20"/>
        </w:rPr>
        <w:t xml:space="preserve">Unauthorized additions, deletions and changes </w:t>
      </w:r>
      <w:r w:rsidR="00A06FC2">
        <w:rPr>
          <w:rFonts w:cs="Times New Roman"/>
          <w:sz w:val="20"/>
          <w:szCs w:val="20"/>
        </w:rPr>
        <w:t>to</w:t>
      </w:r>
      <w:r w:rsidR="001754D2" w:rsidRPr="001754D2">
        <w:rPr>
          <w:rFonts w:cs="Times New Roman"/>
          <w:sz w:val="20"/>
          <w:szCs w:val="20"/>
        </w:rPr>
        <w:t xml:space="preserve"> standing data</w:t>
      </w:r>
      <w:r w:rsidR="00A06FC2">
        <w:rPr>
          <w:rFonts w:cs="Times New Roman"/>
          <w:sz w:val="20"/>
          <w:szCs w:val="20"/>
        </w:rPr>
        <w:t xml:space="preserve"> which would increase</w:t>
      </w:r>
      <w:r w:rsidR="001754D2" w:rsidRPr="001754D2">
        <w:rPr>
          <w:rFonts w:cs="Times New Roman"/>
          <w:sz w:val="20"/>
          <w:szCs w:val="20"/>
        </w:rPr>
        <w:t xml:space="preserve"> the risk of improper payment or incorrect suppliers</w:t>
      </w:r>
      <w:r w:rsidR="00A06FC2">
        <w:rPr>
          <w:rFonts w:cs="Times New Roman"/>
          <w:sz w:val="20"/>
          <w:szCs w:val="20"/>
        </w:rPr>
        <w:t xml:space="preserve"> / vendors</w:t>
      </w:r>
      <w:r w:rsidR="001754D2" w:rsidRPr="001754D2">
        <w:rPr>
          <w:rFonts w:cs="Times New Roman"/>
          <w:sz w:val="20"/>
          <w:szCs w:val="20"/>
        </w:rPr>
        <w:t>.</w:t>
      </w:r>
    </w:p>
    <w:p w14:paraId="3BE0DFA2" w14:textId="194E6E2D" w:rsidR="00A06FC2" w:rsidRDefault="009808E8" w:rsidP="009808E8">
      <w:pPr>
        <w:pStyle w:val="NoSpacing"/>
        <w:numPr>
          <w:ilvl w:val="0"/>
          <w:numId w:val="26"/>
        </w:numPr>
        <w:rPr>
          <w:rFonts w:cs="Times New Roman"/>
          <w:sz w:val="20"/>
          <w:szCs w:val="20"/>
        </w:rPr>
      </w:pPr>
      <w:r w:rsidRPr="009808E8">
        <w:rPr>
          <w:rFonts w:cs="Times New Roman"/>
          <w:sz w:val="20"/>
          <w:szCs w:val="20"/>
        </w:rPr>
        <w:t>Inappropriate segregation of duties and lack of appropriate approvals</w:t>
      </w:r>
      <w:r>
        <w:rPr>
          <w:rFonts w:cs="Times New Roman"/>
          <w:sz w:val="20"/>
          <w:szCs w:val="20"/>
        </w:rPr>
        <w:t>.</w:t>
      </w:r>
    </w:p>
    <w:p w14:paraId="70E5625A" w14:textId="1B799931" w:rsidR="009808E8" w:rsidRDefault="009808E8" w:rsidP="009808E8">
      <w:pPr>
        <w:pStyle w:val="NoSpacing"/>
        <w:numPr>
          <w:ilvl w:val="0"/>
          <w:numId w:val="26"/>
        </w:numPr>
        <w:rPr>
          <w:rFonts w:cs="Times New Roman"/>
          <w:sz w:val="20"/>
          <w:szCs w:val="20"/>
        </w:rPr>
      </w:pPr>
      <w:r>
        <w:rPr>
          <w:rFonts w:cs="Times New Roman"/>
          <w:sz w:val="20"/>
          <w:szCs w:val="20"/>
        </w:rPr>
        <w:t>Processing invalid supplier / vendor claims for goods / services that have not been received / rendered.</w:t>
      </w:r>
    </w:p>
    <w:p w14:paraId="22F6B170" w14:textId="3B3B5DD3" w:rsidR="009808E8" w:rsidRPr="006C2C3F" w:rsidRDefault="009808E8" w:rsidP="009808E8">
      <w:pPr>
        <w:pStyle w:val="NoSpacing"/>
        <w:numPr>
          <w:ilvl w:val="0"/>
          <w:numId w:val="26"/>
        </w:numPr>
        <w:rPr>
          <w:rFonts w:cs="Times New Roman"/>
          <w:sz w:val="20"/>
          <w:szCs w:val="20"/>
        </w:rPr>
      </w:pPr>
      <w:r>
        <w:rPr>
          <w:rFonts w:cs="Times New Roman"/>
          <w:sz w:val="20"/>
          <w:szCs w:val="20"/>
        </w:rPr>
        <w:t>Incompleteness / inaccuracies in the AP balance.</w:t>
      </w:r>
    </w:p>
    <w:p w14:paraId="095B44BA" w14:textId="77777777" w:rsidR="006C2C3F" w:rsidRDefault="006C2C3F" w:rsidP="006C2C3F">
      <w:pPr>
        <w:pStyle w:val="NoSpacing"/>
        <w:rPr>
          <w:rFonts w:cs="Times New Roman"/>
          <w:sz w:val="20"/>
          <w:szCs w:val="20"/>
        </w:rPr>
      </w:pPr>
    </w:p>
    <w:p w14:paraId="344DD214" w14:textId="145A837D" w:rsidR="008F1DF6" w:rsidRDefault="0012746D" w:rsidP="006C2C3F">
      <w:pPr>
        <w:pStyle w:val="NoSpacing"/>
        <w:rPr>
          <w:rFonts w:cs="Times New Roman"/>
          <w:sz w:val="20"/>
          <w:szCs w:val="20"/>
          <w:u w:val="single"/>
        </w:rPr>
      </w:pPr>
      <w:r>
        <w:rPr>
          <w:rFonts w:cs="Times New Roman"/>
          <w:sz w:val="20"/>
          <w:szCs w:val="20"/>
          <w:u w:val="single"/>
        </w:rPr>
        <w:t>Generation of Purchase R</w:t>
      </w:r>
      <w:r w:rsidR="006356F9">
        <w:rPr>
          <w:rFonts w:cs="Times New Roman"/>
          <w:sz w:val="20"/>
          <w:szCs w:val="20"/>
          <w:u w:val="single"/>
        </w:rPr>
        <w:t>equisitions</w:t>
      </w:r>
      <w:r w:rsidR="008F1DF6" w:rsidRPr="008F1DF6">
        <w:rPr>
          <w:rFonts w:cs="Times New Roman"/>
          <w:sz w:val="20"/>
          <w:szCs w:val="20"/>
          <w:u w:val="single"/>
        </w:rPr>
        <w:t>:</w:t>
      </w:r>
    </w:p>
    <w:p w14:paraId="7F105726" w14:textId="77777777" w:rsidR="008F1DF6" w:rsidRPr="008F1DF6" w:rsidRDefault="008F1DF6" w:rsidP="008F1DF6">
      <w:pPr>
        <w:pStyle w:val="NoSpacing"/>
        <w:ind w:left="360"/>
        <w:rPr>
          <w:rFonts w:cs="Times New Roman"/>
          <w:sz w:val="20"/>
          <w:szCs w:val="20"/>
          <w:u w:val="single"/>
        </w:rPr>
      </w:pPr>
    </w:p>
    <w:p w14:paraId="1A42BF74" w14:textId="46A0806A" w:rsidR="00862A5A" w:rsidRDefault="00824F9C" w:rsidP="009D37A1">
      <w:pPr>
        <w:pStyle w:val="NoSpacing"/>
        <w:numPr>
          <w:ilvl w:val="1"/>
          <w:numId w:val="14"/>
        </w:numPr>
        <w:rPr>
          <w:rFonts w:cs="Times New Roman"/>
          <w:sz w:val="20"/>
          <w:szCs w:val="20"/>
        </w:rPr>
      </w:pPr>
      <w:r>
        <w:rPr>
          <w:rFonts w:cs="Times New Roman"/>
          <w:sz w:val="20"/>
          <w:szCs w:val="20"/>
        </w:rPr>
        <w:t>Green Toys</w:t>
      </w:r>
      <w:r w:rsidR="005D2B30">
        <w:rPr>
          <w:rFonts w:cs="Times New Roman"/>
          <w:sz w:val="20"/>
          <w:szCs w:val="20"/>
        </w:rPr>
        <w:t xml:space="preserve"> uses </w:t>
      </w:r>
      <w:r>
        <w:rPr>
          <w:rFonts w:cs="Times New Roman"/>
          <w:sz w:val="20"/>
          <w:szCs w:val="20"/>
        </w:rPr>
        <w:t xml:space="preserve">NetSuite </w:t>
      </w:r>
      <w:r w:rsidR="005D2B30">
        <w:rPr>
          <w:rFonts w:cs="Times New Roman"/>
          <w:sz w:val="20"/>
          <w:szCs w:val="20"/>
        </w:rPr>
        <w:t xml:space="preserve">to request, track and approve purchase </w:t>
      </w:r>
      <w:r w:rsidR="00862A5A">
        <w:rPr>
          <w:rFonts w:cs="Times New Roman"/>
          <w:sz w:val="20"/>
          <w:szCs w:val="20"/>
        </w:rPr>
        <w:t>requisitions.  A purchase requisition must be generated and approved prior to engaging a vendor for goods or service or issuance of a PO.</w:t>
      </w:r>
    </w:p>
    <w:p w14:paraId="41C8693E" w14:textId="33AF7A95" w:rsidR="00A50CFF" w:rsidRDefault="001D17D8" w:rsidP="009D37A1">
      <w:pPr>
        <w:pStyle w:val="NoSpacing"/>
        <w:numPr>
          <w:ilvl w:val="1"/>
          <w:numId w:val="14"/>
        </w:numPr>
        <w:rPr>
          <w:rFonts w:cs="Times New Roman"/>
          <w:sz w:val="20"/>
          <w:szCs w:val="20"/>
        </w:rPr>
      </w:pPr>
      <w:r>
        <w:rPr>
          <w:rFonts w:cs="Times New Roman"/>
          <w:sz w:val="20"/>
          <w:szCs w:val="20"/>
        </w:rPr>
        <w:t>Access</w:t>
      </w:r>
      <w:r w:rsidR="00862A5A">
        <w:rPr>
          <w:rFonts w:cs="Times New Roman"/>
          <w:sz w:val="20"/>
          <w:szCs w:val="20"/>
        </w:rPr>
        <w:t xml:space="preserve"> to </w:t>
      </w:r>
      <w:r w:rsidR="00824F9C">
        <w:rPr>
          <w:rFonts w:cs="Times New Roman"/>
          <w:sz w:val="20"/>
          <w:szCs w:val="20"/>
        </w:rPr>
        <w:t>procurement within NetSuite</w:t>
      </w:r>
      <w:r>
        <w:rPr>
          <w:rFonts w:cs="Times New Roman"/>
          <w:sz w:val="20"/>
          <w:szCs w:val="20"/>
        </w:rPr>
        <w:t xml:space="preserve"> is granted to employees on a roles basis, so that positions rather than people are given access</w:t>
      </w:r>
      <w:r w:rsidR="00A50CFF">
        <w:rPr>
          <w:rFonts w:cs="Times New Roman"/>
          <w:sz w:val="20"/>
          <w:szCs w:val="20"/>
        </w:rPr>
        <w:t xml:space="preserve">.  Roles based access acts as a control should an employee move to a different team or leave </w:t>
      </w:r>
      <w:r w:rsidR="00824F9C">
        <w:rPr>
          <w:rFonts w:cs="Times New Roman"/>
          <w:sz w:val="20"/>
          <w:szCs w:val="20"/>
        </w:rPr>
        <w:t>Green Toys</w:t>
      </w:r>
      <w:r w:rsidR="00A50CFF">
        <w:rPr>
          <w:rFonts w:cs="Times New Roman"/>
          <w:sz w:val="20"/>
          <w:szCs w:val="20"/>
        </w:rPr>
        <w:t>.  Access should be reviewed and updated at least quarterly as a control.</w:t>
      </w:r>
    </w:p>
    <w:p w14:paraId="78C7AC82" w14:textId="2AC32415" w:rsidR="00DA65A8" w:rsidRDefault="00DA65A8" w:rsidP="00DA65A8">
      <w:pPr>
        <w:pStyle w:val="NoSpacing"/>
        <w:numPr>
          <w:ilvl w:val="1"/>
          <w:numId w:val="14"/>
        </w:numPr>
        <w:rPr>
          <w:rFonts w:cs="Times New Roman"/>
          <w:sz w:val="20"/>
          <w:szCs w:val="20"/>
        </w:rPr>
      </w:pPr>
      <w:r w:rsidRPr="00DA65A8">
        <w:rPr>
          <w:rFonts w:cs="Times New Roman"/>
          <w:sz w:val="20"/>
          <w:szCs w:val="20"/>
        </w:rPr>
        <w:t>Purchase requis</w:t>
      </w:r>
      <w:r w:rsidR="00824F9C">
        <w:rPr>
          <w:rFonts w:cs="Times New Roman"/>
          <w:sz w:val="20"/>
          <w:szCs w:val="20"/>
        </w:rPr>
        <w:t>itions are routed for approval within NetSuite</w:t>
      </w:r>
      <w:r w:rsidRPr="00DA65A8">
        <w:rPr>
          <w:rFonts w:cs="Times New Roman"/>
          <w:sz w:val="20"/>
          <w:szCs w:val="20"/>
        </w:rPr>
        <w:t xml:space="preserve"> according to the si</w:t>
      </w:r>
      <w:r>
        <w:rPr>
          <w:rFonts w:cs="Times New Roman"/>
          <w:sz w:val="20"/>
          <w:szCs w:val="20"/>
        </w:rPr>
        <w:t>gnature authority matrix below:</w:t>
      </w:r>
    </w:p>
    <w:p w14:paraId="32B04246" w14:textId="77777777" w:rsidR="00BA43C9" w:rsidRDefault="00BA43C9" w:rsidP="00BA43C9">
      <w:pPr>
        <w:pStyle w:val="NoSpacing"/>
        <w:ind w:left="360"/>
        <w:rPr>
          <w:rFonts w:cs="Times New Roman"/>
          <w:sz w:val="20"/>
          <w:szCs w:val="20"/>
        </w:rPr>
      </w:pPr>
    </w:p>
    <w:p w14:paraId="33C3622D" w14:textId="77777777" w:rsidR="00DA65A8" w:rsidRPr="00DA65A8" w:rsidRDefault="00DA65A8" w:rsidP="00DA65A8">
      <w:pPr>
        <w:pStyle w:val="NoSpacing"/>
        <w:ind w:left="360"/>
        <w:rPr>
          <w:rFonts w:cs="Times New Roman"/>
          <w:sz w:val="20"/>
          <w:szCs w:val="20"/>
        </w:rPr>
      </w:pPr>
    </w:p>
    <w:tbl>
      <w:tblPr>
        <w:tblStyle w:val="TableGrid"/>
        <w:tblW w:w="0" w:type="auto"/>
        <w:tblLook w:val="04A0" w:firstRow="1" w:lastRow="0" w:firstColumn="1" w:lastColumn="0" w:noHBand="0" w:noVBand="1"/>
      </w:tblPr>
      <w:tblGrid>
        <w:gridCol w:w="4428"/>
        <w:gridCol w:w="4428"/>
      </w:tblGrid>
      <w:tr w:rsidR="00DA65A8" w:rsidRPr="001D2E64" w14:paraId="31AC5576" w14:textId="77777777" w:rsidTr="00215270">
        <w:tc>
          <w:tcPr>
            <w:tcW w:w="4428" w:type="dxa"/>
          </w:tcPr>
          <w:p w14:paraId="1F320179" w14:textId="77777777" w:rsidR="00DA65A8" w:rsidRPr="00DA65A8" w:rsidRDefault="00DA65A8" w:rsidP="00215270">
            <w:pPr>
              <w:jc w:val="center"/>
              <w:rPr>
                <w:rFonts w:ascii="Cambria" w:hAnsi="Cambria" w:cs="Arial"/>
                <w:b/>
                <w:sz w:val="16"/>
                <w:szCs w:val="16"/>
              </w:rPr>
            </w:pPr>
            <w:r w:rsidRPr="00DA65A8">
              <w:rPr>
                <w:rFonts w:ascii="Cambria" w:hAnsi="Cambria" w:cs="Arial"/>
                <w:b/>
                <w:sz w:val="16"/>
                <w:szCs w:val="16"/>
              </w:rPr>
              <w:lastRenderedPageBreak/>
              <w:t>HR/Workflow Level</w:t>
            </w:r>
          </w:p>
        </w:tc>
        <w:tc>
          <w:tcPr>
            <w:tcW w:w="4428" w:type="dxa"/>
          </w:tcPr>
          <w:p w14:paraId="5C6F3760" w14:textId="77777777" w:rsidR="00DA65A8" w:rsidRPr="00DA65A8" w:rsidRDefault="00DA65A8" w:rsidP="00215270">
            <w:pPr>
              <w:jc w:val="center"/>
              <w:rPr>
                <w:rFonts w:ascii="Cambria" w:hAnsi="Cambria" w:cs="Arial"/>
                <w:b/>
                <w:sz w:val="16"/>
                <w:szCs w:val="16"/>
              </w:rPr>
            </w:pPr>
            <w:r w:rsidRPr="00DA65A8">
              <w:rPr>
                <w:rFonts w:ascii="Cambria" w:hAnsi="Cambria" w:cs="Arial"/>
                <w:b/>
                <w:sz w:val="16"/>
                <w:szCs w:val="16"/>
              </w:rPr>
              <w:t>Approval Limit (USD)</w:t>
            </w:r>
          </w:p>
        </w:tc>
      </w:tr>
      <w:tr w:rsidR="00DA65A8" w:rsidRPr="001D2E64" w14:paraId="773EAAAB" w14:textId="77777777" w:rsidTr="00215270">
        <w:tc>
          <w:tcPr>
            <w:tcW w:w="4428" w:type="dxa"/>
          </w:tcPr>
          <w:p w14:paraId="3B5765D0" w14:textId="77777777" w:rsidR="00DA65A8" w:rsidRPr="00DA65A8" w:rsidRDefault="00DA65A8" w:rsidP="00215270">
            <w:pPr>
              <w:jc w:val="center"/>
              <w:rPr>
                <w:rFonts w:ascii="Cambria" w:hAnsi="Cambria" w:cs="Arial"/>
                <w:sz w:val="16"/>
                <w:szCs w:val="16"/>
              </w:rPr>
            </w:pPr>
            <w:r w:rsidRPr="00DA65A8">
              <w:rPr>
                <w:rFonts w:ascii="Cambria" w:hAnsi="Cambria" w:cs="Arial"/>
                <w:sz w:val="16"/>
                <w:szCs w:val="16"/>
              </w:rPr>
              <w:t>Manager</w:t>
            </w:r>
          </w:p>
        </w:tc>
        <w:tc>
          <w:tcPr>
            <w:tcW w:w="4428" w:type="dxa"/>
          </w:tcPr>
          <w:p w14:paraId="22E99D27" w14:textId="1FD26E2F" w:rsidR="00DA65A8" w:rsidRPr="00DA65A8" w:rsidRDefault="00DA65A8" w:rsidP="00BA43C9">
            <w:pPr>
              <w:jc w:val="center"/>
              <w:rPr>
                <w:rFonts w:ascii="Cambria" w:hAnsi="Cambria" w:cs="Arial"/>
                <w:sz w:val="16"/>
                <w:szCs w:val="16"/>
              </w:rPr>
            </w:pPr>
            <w:r w:rsidRPr="00DA65A8">
              <w:rPr>
                <w:rFonts w:ascii="Cambria" w:hAnsi="Cambria" w:cs="Arial"/>
                <w:sz w:val="16"/>
                <w:szCs w:val="16"/>
              </w:rPr>
              <w:t>$</w:t>
            </w:r>
            <w:r w:rsidR="00BA43C9">
              <w:rPr>
                <w:rFonts w:ascii="Cambria" w:hAnsi="Cambria" w:cs="Arial"/>
                <w:sz w:val="16"/>
                <w:szCs w:val="16"/>
              </w:rPr>
              <w:t>2,5</w:t>
            </w:r>
            <w:r w:rsidRPr="00DA65A8">
              <w:rPr>
                <w:rFonts w:ascii="Cambria" w:hAnsi="Cambria" w:cs="Arial"/>
                <w:sz w:val="16"/>
                <w:szCs w:val="16"/>
              </w:rPr>
              <w:t>00</w:t>
            </w:r>
          </w:p>
        </w:tc>
      </w:tr>
      <w:tr w:rsidR="00DA65A8" w:rsidRPr="001D2E64" w14:paraId="182A2670" w14:textId="77777777" w:rsidTr="00215270">
        <w:tc>
          <w:tcPr>
            <w:tcW w:w="4428" w:type="dxa"/>
          </w:tcPr>
          <w:p w14:paraId="3A266998" w14:textId="77777777" w:rsidR="00DA65A8" w:rsidRPr="00DA65A8" w:rsidRDefault="00DA65A8" w:rsidP="00215270">
            <w:pPr>
              <w:jc w:val="center"/>
              <w:rPr>
                <w:rFonts w:ascii="Cambria" w:hAnsi="Cambria" w:cs="Arial"/>
                <w:sz w:val="16"/>
                <w:szCs w:val="16"/>
              </w:rPr>
            </w:pPr>
            <w:r w:rsidRPr="00DA65A8">
              <w:rPr>
                <w:rFonts w:ascii="Cambria" w:hAnsi="Cambria" w:cs="Arial"/>
                <w:sz w:val="16"/>
                <w:szCs w:val="16"/>
              </w:rPr>
              <w:t>Director</w:t>
            </w:r>
          </w:p>
        </w:tc>
        <w:tc>
          <w:tcPr>
            <w:tcW w:w="4428" w:type="dxa"/>
          </w:tcPr>
          <w:p w14:paraId="6EADAF47" w14:textId="1A9A46EC" w:rsidR="00DA65A8" w:rsidRPr="00DA65A8" w:rsidRDefault="00824F9C" w:rsidP="00215270">
            <w:pPr>
              <w:jc w:val="center"/>
              <w:rPr>
                <w:rFonts w:ascii="Cambria" w:hAnsi="Cambria" w:cs="Arial"/>
                <w:sz w:val="16"/>
                <w:szCs w:val="16"/>
              </w:rPr>
            </w:pPr>
            <w:r>
              <w:rPr>
                <w:rFonts w:ascii="Cambria" w:hAnsi="Cambria" w:cs="Arial"/>
                <w:sz w:val="16"/>
                <w:szCs w:val="16"/>
              </w:rPr>
              <w:t>$1</w:t>
            </w:r>
            <w:r w:rsidR="00BA43C9">
              <w:rPr>
                <w:rFonts w:ascii="Cambria" w:hAnsi="Cambria" w:cs="Arial"/>
                <w:sz w:val="16"/>
                <w:szCs w:val="16"/>
              </w:rPr>
              <w:t>0</w:t>
            </w:r>
            <w:r w:rsidR="00DA65A8" w:rsidRPr="00DA65A8">
              <w:rPr>
                <w:rFonts w:ascii="Cambria" w:hAnsi="Cambria" w:cs="Arial"/>
                <w:sz w:val="16"/>
                <w:szCs w:val="16"/>
              </w:rPr>
              <w:t>,000</w:t>
            </w:r>
          </w:p>
        </w:tc>
      </w:tr>
      <w:tr w:rsidR="00DA65A8" w:rsidRPr="001D2E64" w14:paraId="15D01D8E" w14:textId="77777777" w:rsidTr="00215270">
        <w:tc>
          <w:tcPr>
            <w:tcW w:w="4428" w:type="dxa"/>
          </w:tcPr>
          <w:p w14:paraId="2411630B" w14:textId="77777777" w:rsidR="00DA65A8" w:rsidRPr="00DA65A8" w:rsidRDefault="00DA65A8" w:rsidP="00215270">
            <w:pPr>
              <w:jc w:val="center"/>
              <w:rPr>
                <w:rFonts w:ascii="Cambria" w:hAnsi="Cambria" w:cs="Arial"/>
                <w:sz w:val="16"/>
                <w:szCs w:val="16"/>
              </w:rPr>
            </w:pPr>
            <w:r w:rsidRPr="00DA65A8">
              <w:rPr>
                <w:rFonts w:ascii="Cambria" w:hAnsi="Cambria" w:cs="Arial"/>
                <w:sz w:val="16"/>
                <w:szCs w:val="16"/>
              </w:rPr>
              <w:t>VP</w:t>
            </w:r>
          </w:p>
        </w:tc>
        <w:tc>
          <w:tcPr>
            <w:tcW w:w="4428" w:type="dxa"/>
          </w:tcPr>
          <w:p w14:paraId="4A1153FE" w14:textId="4967E2F9" w:rsidR="00DA65A8" w:rsidRPr="00DA65A8" w:rsidRDefault="00824F9C" w:rsidP="00BA43C9">
            <w:pPr>
              <w:jc w:val="center"/>
              <w:rPr>
                <w:rFonts w:ascii="Cambria" w:hAnsi="Cambria" w:cs="Arial"/>
                <w:sz w:val="16"/>
                <w:szCs w:val="16"/>
              </w:rPr>
            </w:pPr>
            <w:r>
              <w:rPr>
                <w:rFonts w:ascii="Cambria" w:hAnsi="Cambria" w:cs="Arial"/>
                <w:sz w:val="16"/>
                <w:szCs w:val="16"/>
              </w:rPr>
              <w:t>$</w:t>
            </w:r>
            <w:r w:rsidR="00BA43C9">
              <w:rPr>
                <w:rFonts w:ascii="Cambria" w:hAnsi="Cambria" w:cs="Arial"/>
                <w:sz w:val="16"/>
                <w:szCs w:val="16"/>
              </w:rPr>
              <w:t>15,</w:t>
            </w:r>
            <w:r w:rsidR="00DA65A8" w:rsidRPr="00DA65A8">
              <w:rPr>
                <w:rFonts w:ascii="Cambria" w:hAnsi="Cambria" w:cs="Arial"/>
                <w:sz w:val="16"/>
                <w:szCs w:val="16"/>
              </w:rPr>
              <w:t>000</w:t>
            </w:r>
          </w:p>
        </w:tc>
      </w:tr>
      <w:tr w:rsidR="00DA65A8" w:rsidRPr="001D2E64" w14:paraId="6AFF3AE6" w14:textId="77777777" w:rsidTr="00215270">
        <w:tc>
          <w:tcPr>
            <w:tcW w:w="4428" w:type="dxa"/>
          </w:tcPr>
          <w:p w14:paraId="6C0A81BD" w14:textId="77777777" w:rsidR="00DA65A8" w:rsidRPr="00DA65A8" w:rsidRDefault="00DA65A8" w:rsidP="00215270">
            <w:pPr>
              <w:jc w:val="center"/>
              <w:rPr>
                <w:rFonts w:ascii="Cambria" w:hAnsi="Cambria" w:cs="Arial"/>
                <w:sz w:val="16"/>
                <w:szCs w:val="16"/>
              </w:rPr>
            </w:pPr>
            <w:r w:rsidRPr="00DA65A8">
              <w:rPr>
                <w:rFonts w:ascii="Cambria" w:hAnsi="Cambria" w:cs="Arial"/>
                <w:sz w:val="16"/>
                <w:szCs w:val="16"/>
              </w:rPr>
              <w:t>CEO</w:t>
            </w:r>
          </w:p>
        </w:tc>
        <w:tc>
          <w:tcPr>
            <w:tcW w:w="4428" w:type="dxa"/>
          </w:tcPr>
          <w:p w14:paraId="6A200F7E" w14:textId="1003B271" w:rsidR="00DA65A8" w:rsidRPr="00DA65A8" w:rsidRDefault="00824F9C" w:rsidP="00BA43C9">
            <w:pPr>
              <w:jc w:val="center"/>
              <w:rPr>
                <w:rFonts w:ascii="Cambria" w:hAnsi="Cambria" w:cs="Arial"/>
                <w:sz w:val="16"/>
                <w:szCs w:val="16"/>
              </w:rPr>
            </w:pPr>
            <w:r>
              <w:rPr>
                <w:rFonts w:ascii="Cambria" w:hAnsi="Cambria" w:cs="Arial"/>
                <w:sz w:val="16"/>
                <w:szCs w:val="16"/>
              </w:rPr>
              <w:t>$</w:t>
            </w:r>
            <w:r w:rsidR="00BA43C9">
              <w:rPr>
                <w:rFonts w:ascii="Cambria" w:hAnsi="Cambria" w:cs="Arial"/>
                <w:sz w:val="16"/>
                <w:szCs w:val="16"/>
              </w:rPr>
              <w:t>15</w:t>
            </w:r>
            <w:r w:rsidR="00DA65A8" w:rsidRPr="00DA65A8">
              <w:rPr>
                <w:rFonts w:ascii="Cambria" w:hAnsi="Cambria" w:cs="Arial"/>
                <w:sz w:val="16"/>
                <w:szCs w:val="16"/>
              </w:rPr>
              <w:t>,000+</w:t>
            </w:r>
          </w:p>
        </w:tc>
      </w:tr>
    </w:tbl>
    <w:p w14:paraId="5A901F1C" w14:textId="77777777" w:rsidR="00DA65A8" w:rsidRDefault="00DA65A8" w:rsidP="00DA65A8">
      <w:pPr>
        <w:pStyle w:val="NoSpacing"/>
        <w:ind w:left="360"/>
        <w:rPr>
          <w:rFonts w:cs="Times New Roman"/>
          <w:sz w:val="20"/>
          <w:szCs w:val="20"/>
        </w:rPr>
      </w:pPr>
    </w:p>
    <w:p w14:paraId="16E80785" w14:textId="77777777" w:rsidR="00DA65A8" w:rsidRDefault="00DA65A8" w:rsidP="00DA65A8">
      <w:pPr>
        <w:pStyle w:val="NoSpacing"/>
        <w:ind w:left="360"/>
        <w:rPr>
          <w:rFonts w:cs="Times New Roman"/>
          <w:sz w:val="20"/>
          <w:szCs w:val="20"/>
        </w:rPr>
      </w:pPr>
    </w:p>
    <w:p w14:paraId="4214E465" w14:textId="6F9A2FE1" w:rsidR="00A50CFF" w:rsidRDefault="00DA65A8" w:rsidP="00DA65A8">
      <w:pPr>
        <w:pStyle w:val="NoSpacing"/>
        <w:numPr>
          <w:ilvl w:val="1"/>
          <w:numId w:val="14"/>
        </w:numPr>
        <w:rPr>
          <w:rFonts w:cs="Times New Roman"/>
          <w:sz w:val="20"/>
          <w:szCs w:val="20"/>
        </w:rPr>
      </w:pPr>
      <w:r w:rsidRPr="00DA65A8">
        <w:rPr>
          <w:rFonts w:cs="Times New Roman"/>
          <w:sz w:val="20"/>
          <w:szCs w:val="20"/>
        </w:rPr>
        <w:t>Each PR requires an indep</w:t>
      </w:r>
      <w:r>
        <w:rPr>
          <w:rFonts w:cs="Times New Roman"/>
          <w:sz w:val="20"/>
          <w:szCs w:val="20"/>
        </w:rPr>
        <w:t>endent requestor and approver, thereby tightening controls over segregation of duties.</w:t>
      </w:r>
    </w:p>
    <w:p w14:paraId="2BC686A1" w14:textId="6A149FC2" w:rsidR="00930D72" w:rsidRDefault="00930D72" w:rsidP="00930D72">
      <w:pPr>
        <w:pStyle w:val="NoSpacing"/>
        <w:rPr>
          <w:rFonts w:cs="Times New Roman"/>
          <w:sz w:val="20"/>
          <w:szCs w:val="20"/>
        </w:rPr>
      </w:pPr>
    </w:p>
    <w:p w14:paraId="3441D60E" w14:textId="1B60AACF" w:rsidR="00930D72" w:rsidRPr="00930D72" w:rsidRDefault="00930D72" w:rsidP="00930D72">
      <w:pPr>
        <w:pStyle w:val="NoSpacing"/>
        <w:rPr>
          <w:rFonts w:cs="Times New Roman"/>
          <w:sz w:val="20"/>
          <w:szCs w:val="20"/>
          <w:u w:val="single"/>
        </w:rPr>
      </w:pPr>
      <w:r w:rsidRPr="00930D72">
        <w:rPr>
          <w:rFonts w:cs="Times New Roman"/>
          <w:sz w:val="20"/>
          <w:szCs w:val="20"/>
          <w:u w:val="single"/>
        </w:rPr>
        <w:t>Issuance of Purchase Orders (PO’s):</w:t>
      </w:r>
    </w:p>
    <w:p w14:paraId="335FE0AF" w14:textId="77777777" w:rsidR="008F1DF6" w:rsidRPr="008F1DF6" w:rsidRDefault="008F1DF6" w:rsidP="008F1DF6">
      <w:pPr>
        <w:pStyle w:val="NoSpacing"/>
        <w:ind w:left="360"/>
        <w:rPr>
          <w:rFonts w:cs="Times New Roman"/>
          <w:sz w:val="20"/>
          <w:szCs w:val="20"/>
        </w:rPr>
      </w:pPr>
    </w:p>
    <w:p w14:paraId="244EE05D" w14:textId="1AB3E46F" w:rsidR="00D63148" w:rsidRPr="00D63148" w:rsidRDefault="00D13758" w:rsidP="00D63148">
      <w:pPr>
        <w:pStyle w:val="NoSpacing"/>
        <w:numPr>
          <w:ilvl w:val="0"/>
          <w:numId w:val="15"/>
        </w:numPr>
        <w:rPr>
          <w:rFonts w:cs="Times New Roman"/>
          <w:sz w:val="20"/>
          <w:szCs w:val="20"/>
        </w:rPr>
      </w:pPr>
      <w:r w:rsidRPr="00D13758">
        <w:rPr>
          <w:rFonts w:cs="Times New Roman"/>
          <w:sz w:val="20"/>
          <w:szCs w:val="20"/>
        </w:rPr>
        <w:t xml:space="preserve">When </w:t>
      </w:r>
      <w:r w:rsidR="00824F9C">
        <w:rPr>
          <w:rFonts w:cs="Times New Roman"/>
          <w:sz w:val="20"/>
          <w:szCs w:val="20"/>
        </w:rPr>
        <w:t>Green Toys</w:t>
      </w:r>
      <w:r w:rsidRPr="00D13758">
        <w:rPr>
          <w:rFonts w:cs="Times New Roman"/>
          <w:sz w:val="20"/>
          <w:szCs w:val="20"/>
        </w:rPr>
        <w:t xml:space="preserve"> issues a PO it represents a legally binding commercial document between them and the vendor.  The PO should include a description of the goods / services, quantities, and agreed prices between </w:t>
      </w:r>
      <w:r w:rsidR="00824F9C">
        <w:rPr>
          <w:rFonts w:cs="Times New Roman"/>
          <w:sz w:val="20"/>
          <w:szCs w:val="20"/>
        </w:rPr>
        <w:t>Green Toys</w:t>
      </w:r>
      <w:r w:rsidRPr="00D13758">
        <w:rPr>
          <w:rFonts w:cs="Times New Roman"/>
          <w:sz w:val="20"/>
          <w:szCs w:val="20"/>
        </w:rPr>
        <w:t xml:space="preserve"> and the vendor. </w:t>
      </w:r>
    </w:p>
    <w:p w14:paraId="27D5A6C6" w14:textId="74FF49D3" w:rsidR="003654E5" w:rsidRDefault="003654E5" w:rsidP="003654E5">
      <w:pPr>
        <w:pStyle w:val="NoSpacing"/>
        <w:numPr>
          <w:ilvl w:val="1"/>
          <w:numId w:val="28"/>
        </w:numPr>
        <w:rPr>
          <w:rFonts w:cs="Times New Roman"/>
          <w:sz w:val="20"/>
          <w:szCs w:val="20"/>
        </w:rPr>
      </w:pPr>
      <w:r>
        <w:rPr>
          <w:rFonts w:cs="Times New Roman"/>
          <w:sz w:val="20"/>
          <w:szCs w:val="20"/>
        </w:rPr>
        <w:t xml:space="preserve">The approver should ensure that </w:t>
      </w:r>
      <w:r w:rsidRPr="003654E5">
        <w:rPr>
          <w:rFonts w:cs="Times New Roman"/>
          <w:sz w:val="20"/>
          <w:szCs w:val="20"/>
        </w:rPr>
        <w:t xml:space="preserve">any purchase is made within the approved budget for the current year or within the approved forecast for the current quarter.  </w:t>
      </w:r>
      <w:r>
        <w:rPr>
          <w:rFonts w:cs="Times New Roman"/>
          <w:sz w:val="20"/>
          <w:szCs w:val="20"/>
        </w:rPr>
        <w:t xml:space="preserve">If the approver is not aware of the budget / </w:t>
      </w:r>
      <w:r w:rsidR="002D4E1B">
        <w:rPr>
          <w:rFonts w:cs="Times New Roman"/>
          <w:sz w:val="20"/>
          <w:szCs w:val="20"/>
        </w:rPr>
        <w:t>forecast,</w:t>
      </w:r>
      <w:r>
        <w:rPr>
          <w:rFonts w:cs="Times New Roman"/>
          <w:sz w:val="20"/>
          <w:szCs w:val="20"/>
        </w:rPr>
        <w:t xml:space="preserve"> then it should be obtained from the accounting / finance team at </w:t>
      </w:r>
      <w:r w:rsidR="00824F9C">
        <w:rPr>
          <w:rFonts w:cs="Times New Roman"/>
          <w:sz w:val="20"/>
          <w:szCs w:val="20"/>
        </w:rPr>
        <w:t>Green Toys</w:t>
      </w:r>
      <w:r>
        <w:rPr>
          <w:rFonts w:cs="Times New Roman"/>
          <w:sz w:val="20"/>
          <w:szCs w:val="20"/>
        </w:rPr>
        <w:t>.</w:t>
      </w:r>
    </w:p>
    <w:p w14:paraId="388E8B03" w14:textId="4C2AFA6B" w:rsidR="00D63148" w:rsidRPr="00D63148" w:rsidRDefault="00930D72" w:rsidP="00D63148">
      <w:pPr>
        <w:pStyle w:val="NoSpacing"/>
        <w:numPr>
          <w:ilvl w:val="1"/>
          <w:numId w:val="28"/>
        </w:numPr>
        <w:rPr>
          <w:rFonts w:cs="Times New Roman"/>
          <w:sz w:val="20"/>
          <w:szCs w:val="20"/>
        </w:rPr>
      </w:pPr>
      <w:r w:rsidRPr="00615375">
        <w:rPr>
          <w:rFonts w:cs="Times New Roman"/>
          <w:sz w:val="20"/>
          <w:szCs w:val="20"/>
        </w:rPr>
        <w:t>A fully approved purchase requisition generates a purchase order (PO).  A purchase order is required and must be received before engaging a vendor for goods and/or services gre</w:t>
      </w:r>
      <w:r w:rsidR="00AB1E0D">
        <w:rPr>
          <w:rFonts w:cs="Times New Roman"/>
          <w:sz w:val="20"/>
          <w:szCs w:val="20"/>
        </w:rPr>
        <w:t xml:space="preserve">ater than the equivalent of </w:t>
      </w:r>
      <w:r w:rsidRPr="00615375">
        <w:rPr>
          <w:rFonts w:cs="Times New Roman"/>
          <w:sz w:val="20"/>
          <w:szCs w:val="20"/>
        </w:rPr>
        <w:t xml:space="preserve">$1,000 (based on total annual spend and/or estimated contract value).  </w:t>
      </w:r>
    </w:p>
    <w:p w14:paraId="4A84951B" w14:textId="56C644D0" w:rsidR="00D63148" w:rsidRPr="00D63148" w:rsidRDefault="00930D72" w:rsidP="00D63148">
      <w:pPr>
        <w:pStyle w:val="NoSpacing"/>
        <w:numPr>
          <w:ilvl w:val="1"/>
          <w:numId w:val="29"/>
        </w:numPr>
        <w:rPr>
          <w:rFonts w:cs="Times New Roman"/>
          <w:sz w:val="20"/>
          <w:szCs w:val="20"/>
        </w:rPr>
      </w:pPr>
      <w:r w:rsidRPr="00930D72">
        <w:rPr>
          <w:rFonts w:cs="Times New Roman"/>
          <w:sz w:val="20"/>
          <w:szCs w:val="20"/>
        </w:rPr>
        <w:t xml:space="preserve">A purchase order will be generated and forwarded to the requestor </w:t>
      </w:r>
      <w:r w:rsidR="00AB1E0D">
        <w:rPr>
          <w:rFonts w:cs="Times New Roman"/>
          <w:sz w:val="20"/>
          <w:szCs w:val="20"/>
        </w:rPr>
        <w:t>1-3</w:t>
      </w:r>
      <w:r w:rsidRPr="00930D72">
        <w:rPr>
          <w:rFonts w:cs="Times New Roman"/>
          <w:sz w:val="20"/>
          <w:szCs w:val="20"/>
        </w:rPr>
        <w:t xml:space="preserve"> business days after the purchase requisition is fully approved.</w:t>
      </w:r>
    </w:p>
    <w:p w14:paraId="5DA891B2" w14:textId="1330D3C8" w:rsidR="00D63148" w:rsidRPr="00D63148" w:rsidRDefault="00930D72" w:rsidP="00D63148">
      <w:pPr>
        <w:pStyle w:val="NoSpacing"/>
        <w:numPr>
          <w:ilvl w:val="1"/>
          <w:numId w:val="30"/>
        </w:numPr>
        <w:rPr>
          <w:rFonts w:cs="Times New Roman"/>
          <w:sz w:val="20"/>
          <w:szCs w:val="20"/>
        </w:rPr>
      </w:pPr>
      <w:r>
        <w:rPr>
          <w:rFonts w:cs="Times New Roman"/>
          <w:sz w:val="20"/>
          <w:szCs w:val="20"/>
        </w:rPr>
        <w:t xml:space="preserve">Once a PO has been generated it embodies the </w:t>
      </w:r>
      <w:r w:rsidRPr="00D0454B">
        <w:rPr>
          <w:rFonts w:cs="Times New Roman"/>
          <w:sz w:val="20"/>
          <w:szCs w:val="20"/>
        </w:rPr>
        <w:t>full scope of a commitment (based on a good-faith estimate for the entire project or transaction or annual spend)</w:t>
      </w:r>
      <w:r>
        <w:rPr>
          <w:rFonts w:cs="Times New Roman"/>
          <w:sz w:val="20"/>
          <w:szCs w:val="20"/>
        </w:rPr>
        <w:t>.  The full scope needs to be approved before any commitment can be made to any individual elements</w:t>
      </w:r>
      <w:r w:rsidRPr="00D0454B">
        <w:rPr>
          <w:rFonts w:cs="Times New Roman"/>
          <w:sz w:val="20"/>
          <w:szCs w:val="20"/>
        </w:rPr>
        <w:t xml:space="preserve">.  </w:t>
      </w:r>
    </w:p>
    <w:p w14:paraId="59C9B2DE" w14:textId="77777777" w:rsidR="00AB1E0D" w:rsidRDefault="00930D72" w:rsidP="00D63148">
      <w:pPr>
        <w:pStyle w:val="NoSpacing"/>
        <w:numPr>
          <w:ilvl w:val="1"/>
          <w:numId w:val="30"/>
        </w:numPr>
        <w:rPr>
          <w:rFonts w:cs="Times New Roman"/>
          <w:sz w:val="20"/>
          <w:szCs w:val="20"/>
        </w:rPr>
      </w:pPr>
      <w:r w:rsidRPr="00D0454B">
        <w:rPr>
          <w:rFonts w:cs="Times New Roman"/>
          <w:sz w:val="20"/>
          <w:szCs w:val="20"/>
        </w:rPr>
        <w:t xml:space="preserve">If the terms of an agreement include renewal or termination provisions rendering the duration undeterminable, assume a minimum period of 12 months. </w:t>
      </w:r>
    </w:p>
    <w:p w14:paraId="24AB8070" w14:textId="729CC406" w:rsidR="00930D72" w:rsidRDefault="00930D72" w:rsidP="00D63148">
      <w:pPr>
        <w:pStyle w:val="NoSpacing"/>
        <w:numPr>
          <w:ilvl w:val="1"/>
          <w:numId w:val="30"/>
        </w:numPr>
        <w:rPr>
          <w:rFonts w:cs="Times New Roman"/>
          <w:sz w:val="20"/>
          <w:szCs w:val="20"/>
        </w:rPr>
      </w:pPr>
      <w:r w:rsidRPr="00D0454B">
        <w:rPr>
          <w:rFonts w:cs="Times New Roman"/>
          <w:sz w:val="20"/>
          <w:szCs w:val="20"/>
        </w:rPr>
        <w:t xml:space="preserve">Commitments with no dollar amounts or unascertainable amounts require VP approval.  </w:t>
      </w:r>
    </w:p>
    <w:p w14:paraId="03191E35" w14:textId="26C75466" w:rsidR="00C84724" w:rsidRDefault="00C84724" w:rsidP="00C84724">
      <w:pPr>
        <w:pStyle w:val="NoSpacing"/>
        <w:numPr>
          <w:ilvl w:val="1"/>
          <w:numId w:val="30"/>
        </w:numPr>
        <w:rPr>
          <w:rFonts w:cs="Times New Roman"/>
          <w:sz w:val="20"/>
          <w:szCs w:val="20"/>
        </w:rPr>
      </w:pPr>
      <w:r>
        <w:rPr>
          <w:rFonts w:cs="Times New Roman"/>
          <w:sz w:val="20"/>
          <w:szCs w:val="20"/>
        </w:rPr>
        <w:t>Approval authority may be</w:t>
      </w:r>
      <w:r w:rsidRPr="00C84724">
        <w:rPr>
          <w:rFonts w:cs="Times New Roman"/>
          <w:sz w:val="20"/>
          <w:szCs w:val="20"/>
        </w:rPr>
        <w:t xml:space="preserve"> delegate</w:t>
      </w:r>
      <w:r>
        <w:rPr>
          <w:rFonts w:cs="Times New Roman"/>
          <w:sz w:val="20"/>
          <w:szCs w:val="20"/>
        </w:rPr>
        <w:t>d</w:t>
      </w:r>
      <w:r w:rsidRPr="00C84724">
        <w:rPr>
          <w:rFonts w:cs="Times New Roman"/>
          <w:sz w:val="20"/>
          <w:szCs w:val="20"/>
        </w:rPr>
        <w:t xml:space="preserve"> for up to 12 weeks</w:t>
      </w:r>
      <w:r>
        <w:rPr>
          <w:rFonts w:cs="Times New Roman"/>
          <w:sz w:val="20"/>
          <w:szCs w:val="20"/>
        </w:rPr>
        <w:t xml:space="preserve">.  If delegation will last &gt; 12 weeks, </w:t>
      </w:r>
      <w:r w:rsidRPr="00C84724">
        <w:rPr>
          <w:rFonts w:cs="Times New Roman"/>
          <w:sz w:val="20"/>
          <w:szCs w:val="20"/>
        </w:rPr>
        <w:t>prior written approval</w:t>
      </w:r>
      <w:r w:rsidR="00F37BF6">
        <w:rPr>
          <w:rFonts w:cs="Times New Roman"/>
          <w:sz w:val="20"/>
          <w:szCs w:val="20"/>
        </w:rPr>
        <w:t xml:space="preserve"> must be obtained</w:t>
      </w:r>
      <w:r w:rsidRPr="00C84724">
        <w:rPr>
          <w:rFonts w:cs="Times New Roman"/>
          <w:sz w:val="20"/>
          <w:szCs w:val="20"/>
        </w:rPr>
        <w:t xml:space="preserve"> </w:t>
      </w:r>
      <w:r>
        <w:rPr>
          <w:rFonts w:cs="Times New Roman"/>
          <w:sz w:val="20"/>
          <w:szCs w:val="20"/>
        </w:rPr>
        <w:t>from the</w:t>
      </w:r>
      <w:r w:rsidRPr="00C84724">
        <w:rPr>
          <w:rFonts w:cs="Times New Roman"/>
          <w:sz w:val="20"/>
          <w:szCs w:val="20"/>
        </w:rPr>
        <w:t xml:space="preserve"> departmental VP and the Corporate Controller.   Delegation </w:t>
      </w:r>
      <w:r w:rsidR="00F37BF6">
        <w:rPr>
          <w:rFonts w:cs="Times New Roman"/>
          <w:sz w:val="20"/>
          <w:szCs w:val="20"/>
        </w:rPr>
        <w:t xml:space="preserve">can only be made </w:t>
      </w:r>
      <w:r w:rsidRPr="00C84724">
        <w:rPr>
          <w:rFonts w:cs="Times New Roman"/>
          <w:sz w:val="20"/>
          <w:szCs w:val="20"/>
        </w:rPr>
        <w:t>to an employee at the same or greater level</w:t>
      </w:r>
      <w:r w:rsidR="00F37BF6">
        <w:rPr>
          <w:rFonts w:cs="Times New Roman"/>
          <w:sz w:val="20"/>
          <w:szCs w:val="20"/>
        </w:rPr>
        <w:t>.  T</w:t>
      </w:r>
      <w:r w:rsidRPr="00C84724">
        <w:rPr>
          <w:rFonts w:cs="Times New Roman"/>
          <w:sz w:val="20"/>
          <w:szCs w:val="20"/>
        </w:rPr>
        <w:t xml:space="preserve">he employee delegating authority will remain accountable for actions taken by his/her delegates.  </w:t>
      </w:r>
    </w:p>
    <w:p w14:paraId="47FD84F3" w14:textId="5B213E7D" w:rsidR="006246AD" w:rsidRDefault="006246AD" w:rsidP="006246AD">
      <w:pPr>
        <w:pStyle w:val="NoSpacing"/>
        <w:numPr>
          <w:ilvl w:val="1"/>
          <w:numId w:val="30"/>
        </w:numPr>
        <w:rPr>
          <w:rFonts w:cs="Times New Roman"/>
          <w:sz w:val="20"/>
          <w:szCs w:val="20"/>
        </w:rPr>
      </w:pPr>
      <w:r w:rsidRPr="006246AD">
        <w:rPr>
          <w:rFonts w:cs="Times New Roman"/>
          <w:sz w:val="20"/>
          <w:szCs w:val="20"/>
        </w:rPr>
        <w:t>Temporary staff, consultants, contractors, and interns may not enter agreements, approve transactions, or commit</w:t>
      </w:r>
      <w:r>
        <w:rPr>
          <w:rFonts w:cs="Times New Roman"/>
          <w:sz w:val="20"/>
          <w:szCs w:val="20"/>
        </w:rPr>
        <w:t xml:space="preserve"> </w:t>
      </w:r>
      <w:r w:rsidR="00824F9C">
        <w:rPr>
          <w:rFonts w:cs="Times New Roman"/>
          <w:sz w:val="20"/>
          <w:szCs w:val="20"/>
        </w:rPr>
        <w:t>Green Toys</w:t>
      </w:r>
      <w:r>
        <w:rPr>
          <w:rFonts w:cs="Times New Roman"/>
          <w:sz w:val="20"/>
          <w:szCs w:val="20"/>
        </w:rPr>
        <w:t xml:space="preserve"> in any way, and should not be considered appropriate delegates.</w:t>
      </w:r>
    </w:p>
    <w:p w14:paraId="027F2569" w14:textId="142869A5" w:rsidR="008F1DF6" w:rsidRPr="00BA4067" w:rsidRDefault="001D5149" w:rsidP="00BA4067">
      <w:pPr>
        <w:pStyle w:val="NoSpacing"/>
        <w:ind w:left="360"/>
        <w:rPr>
          <w:rFonts w:cs="Times New Roman"/>
          <w:sz w:val="20"/>
          <w:szCs w:val="20"/>
        </w:rPr>
      </w:pPr>
      <w:r>
        <w:rPr>
          <w:sz w:val="20"/>
          <w:szCs w:val="20"/>
          <w:u w:val="single"/>
        </w:rPr>
        <w:t xml:space="preserve"> </w:t>
      </w:r>
    </w:p>
    <w:p w14:paraId="0602B32F" w14:textId="18CA7F22" w:rsidR="00BA4067" w:rsidRDefault="00BA4067" w:rsidP="00BA4067">
      <w:pPr>
        <w:spacing w:after="160" w:line="259" w:lineRule="auto"/>
        <w:rPr>
          <w:sz w:val="20"/>
          <w:szCs w:val="20"/>
          <w:u w:val="single"/>
        </w:rPr>
      </w:pPr>
      <w:r w:rsidRPr="00BA4067">
        <w:rPr>
          <w:sz w:val="20"/>
          <w:szCs w:val="20"/>
          <w:u w:val="single"/>
        </w:rPr>
        <w:t>Vendor Engagement:</w:t>
      </w:r>
    </w:p>
    <w:p w14:paraId="4D6837A4" w14:textId="74927C1C" w:rsidR="002D4E1B" w:rsidRDefault="00824F9C" w:rsidP="000E7F3C">
      <w:pPr>
        <w:pStyle w:val="NoSpacing"/>
        <w:numPr>
          <w:ilvl w:val="0"/>
          <w:numId w:val="15"/>
        </w:numPr>
        <w:rPr>
          <w:rFonts w:cs="Times New Roman"/>
          <w:sz w:val="20"/>
          <w:szCs w:val="20"/>
        </w:rPr>
      </w:pPr>
      <w:r>
        <w:rPr>
          <w:rFonts w:cs="Times New Roman"/>
          <w:sz w:val="20"/>
          <w:szCs w:val="20"/>
        </w:rPr>
        <w:t>Green Toys</w:t>
      </w:r>
      <w:r w:rsidR="002D4E1B">
        <w:rPr>
          <w:rFonts w:cs="Times New Roman"/>
          <w:sz w:val="20"/>
          <w:szCs w:val="20"/>
        </w:rPr>
        <w:t xml:space="preserve"> should only engage with a vendor once a valid / approved PO is in place.  For PO’s &gt; $</w:t>
      </w:r>
      <w:r w:rsidR="00BA43C9">
        <w:rPr>
          <w:rFonts w:cs="Times New Roman"/>
          <w:sz w:val="20"/>
          <w:szCs w:val="20"/>
        </w:rPr>
        <w:t>1</w:t>
      </w:r>
      <w:r>
        <w:rPr>
          <w:rFonts w:cs="Times New Roman"/>
          <w:sz w:val="20"/>
          <w:szCs w:val="20"/>
        </w:rPr>
        <w:t>5</w:t>
      </w:r>
      <w:r w:rsidR="00C4181E">
        <w:rPr>
          <w:rFonts w:cs="Times New Roman"/>
          <w:sz w:val="20"/>
          <w:szCs w:val="20"/>
        </w:rPr>
        <w:t>,000</w:t>
      </w:r>
      <w:r w:rsidR="002D4E1B">
        <w:rPr>
          <w:rFonts w:cs="Times New Roman"/>
          <w:sz w:val="20"/>
          <w:szCs w:val="20"/>
        </w:rPr>
        <w:t>, review and approval by the legal department is also required.</w:t>
      </w:r>
    </w:p>
    <w:p w14:paraId="3470EFE6" w14:textId="5B033A08" w:rsidR="00C4181E" w:rsidRDefault="009C0CF9" w:rsidP="009C0CF9">
      <w:pPr>
        <w:pStyle w:val="NoSpacing"/>
        <w:numPr>
          <w:ilvl w:val="1"/>
          <w:numId w:val="31"/>
        </w:numPr>
        <w:rPr>
          <w:rFonts w:cs="Times New Roman"/>
          <w:sz w:val="20"/>
          <w:szCs w:val="20"/>
        </w:rPr>
      </w:pPr>
      <w:r w:rsidRPr="009C0CF9">
        <w:rPr>
          <w:rFonts w:cs="Times New Roman"/>
          <w:sz w:val="20"/>
          <w:szCs w:val="20"/>
        </w:rPr>
        <w:t>Please ensure the vendor is (1) notified of the PO, (2) instructed to reference the PO number on all invoices and (3) instructed to directly deliver all invoices</w:t>
      </w:r>
      <w:r>
        <w:rPr>
          <w:rFonts w:cs="Times New Roman"/>
          <w:sz w:val="20"/>
          <w:szCs w:val="20"/>
        </w:rPr>
        <w:t xml:space="preserve"> to </w:t>
      </w:r>
      <w:hyperlink r:id="rId8" w:history="1">
        <w:proofErr w:type="spellStart"/>
        <w:r w:rsidR="00C4181E" w:rsidRPr="00AC48D8">
          <w:rPr>
            <w:rStyle w:val="Hyperlink"/>
            <w:rFonts w:cs="Times New Roman"/>
            <w:sz w:val="20"/>
            <w:szCs w:val="20"/>
          </w:rPr>
          <w:t>accounting@</w:t>
        </w:r>
        <w:r w:rsidR="00824F9C">
          <w:rPr>
            <w:rStyle w:val="Hyperlink"/>
            <w:rFonts w:cs="Times New Roman"/>
            <w:sz w:val="20"/>
            <w:szCs w:val="20"/>
          </w:rPr>
          <w:t>Green</w:t>
        </w:r>
        <w:proofErr w:type="spellEnd"/>
        <w:r w:rsidR="00824F9C">
          <w:rPr>
            <w:rStyle w:val="Hyperlink"/>
            <w:rFonts w:cs="Times New Roman"/>
            <w:sz w:val="20"/>
            <w:szCs w:val="20"/>
          </w:rPr>
          <w:t xml:space="preserve"> Toys</w:t>
        </w:r>
        <w:r w:rsidR="00C4181E" w:rsidRPr="00AC48D8">
          <w:rPr>
            <w:rStyle w:val="Hyperlink"/>
            <w:rFonts w:cs="Times New Roman"/>
            <w:sz w:val="20"/>
            <w:szCs w:val="20"/>
          </w:rPr>
          <w:t>.com</w:t>
        </w:r>
      </w:hyperlink>
      <w:r w:rsidR="00C4181E">
        <w:rPr>
          <w:rFonts w:cs="Times New Roman"/>
          <w:sz w:val="20"/>
          <w:szCs w:val="20"/>
        </w:rPr>
        <w:t xml:space="preserve">.  </w:t>
      </w:r>
    </w:p>
    <w:p w14:paraId="1E7EF81F" w14:textId="277FBF60" w:rsidR="00436C5F" w:rsidRDefault="00436C5F" w:rsidP="009C0CF9">
      <w:pPr>
        <w:pStyle w:val="NoSpacing"/>
        <w:numPr>
          <w:ilvl w:val="1"/>
          <w:numId w:val="31"/>
        </w:numPr>
        <w:rPr>
          <w:rFonts w:cs="Times New Roman"/>
          <w:sz w:val="20"/>
          <w:szCs w:val="20"/>
        </w:rPr>
      </w:pPr>
      <w:r>
        <w:rPr>
          <w:rFonts w:cs="Times New Roman"/>
          <w:sz w:val="20"/>
          <w:szCs w:val="20"/>
        </w:rPr>
        <w:t>For all new vendors, a W9 should be requested at the time they are en</w:t>
      </w:r>
      <w:r w:rsidR="00C44748">
        <w:rPr>
          <w:rFonts w:cs="Times New Roman"/>
          <w:sz w:val="20"/>
          <w:szCs w:val="20"/>
        </w:rPr>
        <w:t>gaged.</w:t>
      </w:r>
    </w:p>
    <w:p w14:paraId="6ADD8AF5" w14:textId="3351F58F" w:rsidR="00C44748" w:rsidRDefault="00C44748" w:rsidP="00C44748">
      <w:pPr>
        <w:pStyle w:val="NoSpacing"/>
        <w:rPr>
          <w:rFonts w:cs="Times New Roman"/>
          <w:sz w:val="20"/>
          <w:szCs w:val="20"/>
        </w:rPr>
      </w:pPr>
    </w:p>
    <w:p w14:paraId="6A4632AF" w14:textId="255B9378" w:rsidR="00C44748" w:rsidRPr="00C44748" w:rsidRDefault="00C44748" w:rsidP="00C44748">
      <w:pPr>
        <w:pStyle w:val="NoSpacing"/>
        <w:rPr>
          <w:rFonts w:cs="Times New Roman"/>
          <w:sz w:val="20"/>
          <w:szCs w:val="20"/>
          <w:u w:val="single"/>
        </w:rPr>
      </w:pPr>
      <w:r w:rsidRPr="00C44748">
        <w:rPr>
          <w:rFonts w:cs="Times New Roman"/>
          <w:sz w:val="20"/>
          <w:szCs w:val="20"/>
          <w:u w:val="single"/>
        </w:rPr>
        <w:t>Receipt of Goods:</w:t>
      </w:r>
    </w:p>
    <w:p w14:paraId="50616FAE" w14:textId="2793DA03" w:rsidR="003E557C" w:rsidRDefault="00C2004C" w:rsidP="003E557C">
      <w:pPr>
        <w:pStyle w:val="ListParagraph"/>
        <w:numPr>
          <w:ilvl w:val="0"/>
          <w:numId w:val="15"/>
        </w:numPr>
        <w:spacing w:after="160" w:line="259" w:lineRule="auto"/>
        <w:rPr>
          <w:sz w:val="20"/>
          <w:szCs w:val="20"/>
        </w:rPr>
      </w:pPr>
      <w:r w:rsidRPr="00C2004C">
        <w:rPr>
          <w:sz w:val="20"/>
          <w:szCs w:val="20"/>
        </w:rPr>
        <w:t xml:space="preserve">Goods should be received at </w:t>
      </w:r>
      <w:r w:rsidR="004848CB">
        <w:rPr>
          <w:sz w:val="20"/>
          <w:szCs w:val="20"/>
        </w:rPr>
        <w:t>3PL’s receiving dock:</w:t>
      </w:r>
    </w:p>
    <w:p w14:paraId="2BD58CE8" w14:textId="36786D6B" w:rsidR="004848CB" w:rsidRPr="004848CB" w:rsidRDefault="004848CB" w:rsidP="004848CB">
      <w:pPr>
        <w:pStyle w:val="ListParagraph"/>
        <w:numPr>
          <w:ilvl w:val="0"/>
          <w:numId w:val="42"/>
        </w:numPr>
        <w:spacing w:after="160" w:line="259" w:lineRule="auto"/>
        <w:rPr>
          <w:sz w:val="20"/>
          <w:szCs w:val="20"/>
        </w:rPr>
      </w:pPr>
      <w:r w:rsidRPr="004848CB">
        <w:rPr>
          <w:sz w:val="20"/>
          <w:szCs w:val="20"/>
        </w:rPr>
        <w:t>When a shipment arrives, locate within the shipping document the authorized PO # and locate an electronic copy of the PO.</w:t>
      </w:r>
    </w:p>
    <w:p w14:paraId="50A5B5D1" w14:textId="53FD33E9" w:rsidR="00C2004C" w:rsidRDefault="00C2004C" w:rsidP="00C2004C">
      <w:pPr>
        <w:pStyle w:val="ListParagraph"/>
        <w:numPr>
          <w:ilvl w:val="1"/>
          <w:numId w:val="34"/>
        </w:numPr>
        <w:spacing w:after="160" w:line="259" w:lineRule="auto"/>
        <w:rPr>
          <w:sz w:val="20"/>
          <w:szCs w:val="20"/>
        </w:rPr>
      </w:pPr>
      <w:r w:rsidRPr="003E557C">
        <w:rPr>
          <w:sz w:val="20"/>
          <w:szCs w:val="20"/>
        </w:rPr>
        <w:t xml:space="preserve">At the time the goods are received, receiving employees should compare the goods at the dock to a copy of the PO which is blank for quantity – this is called the receiving report.  Receiving employees will mark the quantity of goods by type received and note their condition / quality. </w:t>
      </w:r>
    </w:p>
    <w:p w14:paraId="069D9898" w14:textId="77777777" w:rsidR="004848CB" w:rsidRPr="004848CB" w:rsidRDefault="004848CB" w:rsidP="004848CB">
      <w:pPr>
        <w:pStyle w:val="ListParagraph"/>
        <w:numPr>
          <w:ilvl w:val="0"/>
          <w:numId w:val="42"/>
        </w:numPr>
        <w:spacing w:after="160" w:line="259" w:lineRule="auto"/>
        <w:rPr>
          <w:sz w:val="20"/>
          <w:szCs w:val="20"/>
        </w:rPr>
      </w:pPr>
      <w:r w:rsidRPr="004848CB">
        <w:rPr>
          <w:sz w:val="20"/>
          <w:szCs w:val="20"/>
        </w:rPr>
        <w:t>If there are any significant variances, reject the shipment.</w:t>
      </w:r>
    </w:p>
    <w:p w14:paraId="450A7C9C" w14:textId="66F3A0B6" w:rsidR="004848CB" w:rsidRDefault="004848CB" w:rsidP="004848CB">
      <w:pPr>
        <w:pStyle w:val="ListParagraph"/>
        <w:numPr>
          <w:ilvl w:val="0"/>
          <w:numId w:val="42"/>
        </w:numPr>
        <w:spacing w:after="160" w:line="259" w:lineRule="auto"/>
        <w:rPr>
          <w:sz w:val="20"/>
          <w:szCs w:val="20"/>
        </w:rPr>
      </w:pPr>
      <w:r w:rsidRPr="004848CB">
        <w:rPr>
          <w:sz w:val="20"/>
          <w:szCs w:val="20"/>
        </w:rPr>
        <w:t>If the shipment quantity and quality is correct, sign a copy of the bill of lading to accept shipment.</w:t>
      </w:r>
    </w:p>
    <w:p w14:paraId="33BD55AD" w14:textId="1D03EC3F" w:rsidR="001C69A0" w:rsidRDefault="001C69A0" w:rsidP="00C2004C">
      <w:pPr>
        <w:pStyle w:val="ListParagraph"/>
        <w:numPr>
          <w:ilvl w:val="1"/>
          <w:numId w:val="34"/>
        </w:numPr>
        <w:spacing w:after="160" w:line="259" w:lineRule="auto"/>
        <w:rPr>
          <w:sz w:val="20"/>
          <w:szCs w:val="20"/>
        </w:rPr>
      </w:pPr>
      <w:r>
        <w:rPr>
          <w:sz w:val="20"/>
          <w:szCs w:val="20"/>
        </w:rPr>
        <w:lastRenderedPageBreak/>
        <w:t xml:space="preserve">Copies of receiving report </w:t>
      </w:r>
      <w:r w:rsidR="004848CB">
        <w:rPr>
          <w:sz w:val="20"/>
          <w:szCs w:val="20"/>
        </w:rPr>
        <w:t xml:space="preserve">/ bill of lading </w:t>
      </w:r>
      <w:r>
        <w:rPr>
          <w:sz w:val="20"/>
          <w:szCs w:val="20"/>
        </w:rPr>
        <w:t xml:space="preserve">should  be sent to </w:t>
      </w:r>
      <w:r w:rsidR="004848CB">
        <w:rPr>
          <w:sz w:val="20"/>
          <w:szCs w:val="20"/>
        </w:rPr>
        <w:t>Green Toys’</w:t>
      </w:r>
      <w:r>
        <w:rPr>
          <w:sz w:val="20"/>
          <w:szCs w:val="20"/>
        </w:rPr>
        <w:t xml:space="preserve"> AP department and purchasing.</w:t>
      </w:r>
    </w:p>
    <w:p w14:paraId="37B8DA49" w14:textId="71391EFE" w:rsidR="004848CB" w:rsidRDefault="004848CB" w:rsidP="004848CB">
      <w:pPr>
        <w:pStyle w:val="ListParagraph"/>
        <w:numPr>
          <w:ilvl w:val="1"/>
          <w:numId w:val="34"/>
        </w:numPr>
        <w:spacing w:after="160" w:line="259" w:lineRule="auto"/>
        <w:rPr>
          <w:sz w:val="20"/>
          <w:szCs w:val="20"/>
        </w:rPr>
      </w:pPr>
      <w:r>
        <w:rPr>
          <w:sz w:val="20"/>
          <w:szCs w:val="20"/>
        </w:rPr>
        <w:t>Green Toys is responsible for updating related databases and accounting records:</w:t>
      </w:r>
    </w:p>
    <w:p w14:paraId="0A6E488F" w14:textId="77777777" w:rsidR="004848CB" w:rsidRPr="004848CB" w:rsidRDefault="004848CB" w:rsidP="004848CB">
      <w:pPr>
        <w:pStyle w:val="ListParagraph"/>
        <w:numPr>
          <w:ilvl w:val="0"/>
          <w:numId w:val="43"/>
        </w:numPr>
        <w:spacing w:after="160" w:line="259" w:lineRule="auto"/>
        <w:rPr>
          <w:sz w:val="20"/>
          <w:szCs w:val="20"/>
        </w:rPr>
      </w:pPr>
      <w:r w:rsidRPr="004848CB">
        <w:rPr>
          <w:sz w:val="20"/>
          <w:szCs w:val="20"/>
        </w:rPr>
        <w:t>Access the authorized PO within NetSuite.</w:t>
      </w:r>
    </w:p>
    <w:p w14:paraId="43E23A4A" w14:textId="77777777" w:rsidR="004848CB" w:rsidRPr="004848CB" w:rsidRDefault="004848CB" w:rsidP="004848CB">
      <w:pPr>
        <w:pStyle w:val="ListParagraph"/>
        <w:numPr>
          <w:ilvl w:val="0"/>
          <w:numId w:val="43"/>
        </w:numPr>
        <w:spacing w:after="160" w:line="259" w:lineRule="auto"/>
        <w:rPr>
          <w:sz w:val="20"/>
          <w:szCs w:val="20"/>
        </w:rPr>
      </w:pPr>
      <w:r w:rsidRPr="004848CB">
        <w:rPr>
          <w:sz w:val="20"/>
          <w:szCs w:val="20"/>
        </w:rPr>
        <w:t>Ensure there is a match between the PO to the receiving report.</w:t>
      </w:r>
    </w:p>
    <w:p w14:paraId="58E30664" w14:textId="77777777" w:rsidR="004848CB" w:rsidRPr="004848CB" w:rsidRDefault="004848CB" w:rsidP="004848CB">
      <w:pPr>
        <w:pStyle w:val="ListParagraph"/>
        <w:numPr>
          <w:ilvl w:val="0"/>
          <w:numId w:val="43"/>
        </w:numPr>
        <w:spacing w:after="160" w:line="259" w:lineRule="auto"/>
        <w:rPr>
          <w:sz w:val="20"/>
          <w:szCs w:val="20"/>
        </w:rPr>
      </w:pPr>
      <w:r w:rsidRPr="004848CB">
        <w:rPr>
          <w:sz w:val="20"/>
          <w:szCs w:val="20"/>
        </w:rPr>
        <w:t>Record both the quantity received and the location where the units will be stored – Orion, VRS, Pride or Tigers.</w:t>
      </w:r>
    </w:p>
    <w:p w14:paraId="3E99ED7E" w14:textId="7E45BADA" w:rsidR="004848CB" w:rsidRPr="004848CB" w:rsidRDefault="004848CB" w:rsidP="004848CB">
      <w:pPr>
        <w:pStyle w:val="ListParagraph"/>
        <w:numPr>
          <w:ilvl w:val="0"/>
          <w:numId w:val="43"/>
        </w:numPr>
        <w:spacing w:after="160" w:line="259" w:lineRule="auto"/>
        <w:rPr>
          <w:sz w:val="20"/>
          <w:szCs w:val="20"/>
        </w:rPr>
      </w:pPr>
      <w:r w:rsidRPr="004848CB">
        <w:rPr>
          <w:sz w:val="20"/>
          <w:szCs w:val="20"/>
        </w:rPr>
        <w:t>Upload a copy of the bill of lading into the system as documentation – this will be accessed by the accounting department.</w:t>
      </w:r>
      <w:bookmarkStart w:id="0" w:name="_GoBack"/>
      <w:bookmarkEnd w:id="0"/>
    </w:p>
    <w:p w14:paraId="4FE13141" w14:textId="65A93045" w:rsidR="00A9750E" w:rsidRPr="001B6380" w:rsidRDefault="000B7E29" w:rsidP="001B6380">
      <w:pPr>
        <w:spacing w:after="160" w:line="259" w:lineRule="auto"/>
        <w:rPr>
          <w:sz w:val="20"/>
          <w:szCs w:val="20"/>
        </w:rPr>
      </w:pPr>
      <w:r w:rsidRPr="001B6380">
        <w:rPr>
          <w:sz w:val="20"/>
          <w:szCs w:val="20"/>
          <w:u w:val="single"/>
        </w:rPr>
        <w:t>Vendor Invoicing</w:t>
      </w:r>
      <w:r w:rsidR="0096644F" w:rsidRPr="001B6380">
        <w:rPr>
          <w:sz w:val="20"/>
          <w:szCs w:val="20"/>
          <w:u w:val="single"/>
        </w:rPr>
        <w:t>:</w:t>
      </w:r>
      <w:r w:rsidR="0096644F" w:rsidRPr="001B6380">
        <w:rPr>
          <w:sz w:val="20"/>
          <w:szCs w:val="20"/>
        </w:rPr>
        <w:t xml:space="preserve"> </w:t>
      </w:r>
      <w:r w:rsidR="00A9750E" w:rsidRPr="001B6380">
        <w:rPr>
          <w:sz w:val="20"/>
          <w:szCs w:val="20"/>
        </w:rPr>
        <w:t xml:space="preserve"> </w:t>
      </w:r>
    </w:p>
    <w:p w14:paraId="744CF903" w14:textId="6D40971F" w:rsidR="003E557C" w:rsidRPr="003E557C" w:rsidRDefault="00C44748" w:rsidP="003E557C">
      <w:pPr>
        <w:pStyle w:val="NoSpacing"/>
        <w:numPr>
          <w:ilvl w:val="0"/>
          <w:numId w:val="33"/>
        </w:numPr>
        <w:rPr>
          <w:rFonts w:cs="Times New Roman"/>
          <w:sz w:val="20"/>
          <w:szCs w:val="20"/>
        </w:rPr>
      </w:pPr>
      <w:r>
        <w:rPr>
          <w:rFonts w:cs="Times New Roman"/>
          <w:sz w:val="20"/>
          <w:szCs w:val="20"/>
        </w:rPr>
        <w:t>Most vendors will send invoicing following the receipt of goods / services.</w:t>
      </w:r>
    </w:p>
    <w:p w14:paraId="74F35B9C" w14:textId="77777777" w:rsidR="003E557C" w:rsidRDefault="00C2004C" w:rsidP="00C2004C">
      <w:pPr>
        <w:pStyle w:val="NoSpacing"/>
        <w:numPr>
          <w:ilvl w:val="1"/>
          <w:numId w:val="35"/>
        </w:numPr>
        <w:rPr>
          <w:rFonts w:cs="Times New Roman"/>
          <w:sz w:val="20"/>
          <w:szCs w:val="20"/>
        </w:rPr>
      </w:pPr>
      <w:r w:rsidRPr="003E557C">
        <w:rPr>
          <w:rFonts w:cs="Times New Roman"/>
          <w:sz w:val="20"/>
          <w:szCs w:val="20"/>
        </w:rPr>
        <w:t>The empl</w:t>
      </w:r>
      <w:r w:rsidR="00C44748" w:rsidRPr="003E557C">
        <w:rPr>
          <w:rFonts w:cs="Times New Roman"/>
          <w:sz w:val="20"/>
          <w:szCs w:val="20"/>
        </w:rPr>
        <w:t>oyee who requisitioned the goods or services will receive an email requesting their approval to pay the vendor invoice.  Please provide your approval (or denial, along with rationale) promptly but no later than 48 hours following receipt.  A second request, copying your manager, will be sent if no respo</w:t>
      </w:r>
      <w:r w:rsidR="003E557C" w:rsidRPr="003E557C">
        <w:rPr>
          <w:rFonts w:cs="Times New Roman"/>
          <w:sz w:val="20"/>
          <w:szCs w:val="20"/>
        </w:rPr>
        <w:t>nse is received within 48 hours.</w:t>
      </w:r>
    </w:p>
    <w:p w14:paraId="79229FEF" w14:textId="175C1F41" w:rsidR="009200DB" w:rsidRDefault="001B6380" w:rsidP="001C69A0">
      <w:pPr>
        <w:pStyle w:val="NoSpacing"/>
        <w:numPr>
          <w:ilvl w:val="1"/>
          <w:numId w:val="35"/>
        </w:numPr>
        <w:rPr>
          <w:rFonts w:cs="Times New Roman"/>
          <w:sz w:val="20"/>
          <w:szCs w:val="20"/>
        </w:rPr>
      </w:pPr>
      <w:r w:rsidRPr="003E557C">
        <w:rPr>
          <w:rFonts w:cs="Times New Roman"/>
          <w:sz w:val="20"/>
          <w:szCs w:val="20"/>
        </w:rPr>
        <w:t xml:space="preserve">For segregation of duties, vendor invoices should go to the accounts payable team within </w:t>
      </w:r>
      <w:r w:rsidR="00824F9C">
        <w:rPr>
          <w:rFonts w:cs="Times New Roman"/>
          <w:sz w:val="20"/>
          <w:szCs w:val="20"/>
        </w:rPr>
        <w:t>Green Toys</w:t>
      </w:r>
      <w:r w:rsidRPr="003E557C">
        <w:rPr>
          <w:rFonts w:cs="Times New Roman"/>
          <w:sz w:val="20"/>
          <w:szCs w:val="20"/>
        </w:rPr>
        <w:t xml:space="preserve"> and not the purchasing team.  </w:t>
      </w:r>
    </w:p>
    <w:p w14:paraId="53B3B17E" w14:textId="156FBF18" w:rsidR="00767D1E" w:rsidRDefault="00767D1E" w:rsidP="001C69A0">
      <w:pPr>
        <w:pStyle w:val="NoSpacing"/>
        <w:numPr>
          <w:ilvl w:val="1"/>
          <w:numId w:val="35"/>
        </w:numPr>
        <w:rPr>
          <w:rFonts w:cs="Times New Roman"/>
          <w:sz w:val="20"/>
          <w:szCs w:val="20"/>
        </w:rPr>
      </w:pPr>
      <w:r>
        <w:rPr>
          <w:rFonts w:cs="Times New Roman"/>
          <w:sz w:val="20"/>
          <w:szCs w:val="20"/>
        </w:rPr>
        <w:t>Once the goods / services have been received / rendered, the AP team can record a liability (and a corresponding expense / capital asset / prepaid – please see steps below to determine which of these is appropriate).</w:t>
      </w:r>
    </w:p>
    <w:p w14:paraId="5F0B1502" w14:textId="77777777" w:rsidR="001C69A0" w:rsidRPr="001C69A0" w:rsidRDefault="001C69A0" w:rsidP="001C69A0">
      <w:pPr>
        <w:pStyle w:val="NoSpacing"/>
        <w:ind w:left="360"/>
        <w:rPr>
          <w:rFonts w:cs="Times New Roman"/>
          <w:sz w:val="20"/>
          <w:szCs w:val="20"/>
        </w:rPr>
      </w:pPr>
    </w:p>
    <w:p w14:paraId="285C972F" w14:textId="585A660C" w:rsidR="001C69A0" w:rsidRDefault="000B7E29" w:rsidP="009200DB">
      <w:pPr>
        <w:spacing w:after="160" w:line="259" w:lineRule="auto"/>
        <w:rPr>
          <w:sz w:val="20"/>
          <w:szCs w:val="20"/>
        </w:rPr>
      </w:pPr>
      <w:r w:rsidRPr="009200DB">
        <w:rPr>
          <w:sz w:val="20"/>
          <w:szCs w:val="20"/>
          <w:u w:val="single"/>
        </w:rPr>
        <w:t>Vendor Payment</w:t>
      </w:r>
      <w:r w:rsidR="008F1DF6" w:rsidRPr="009200DB">
        <w:rPr>
          <w:sz w:val="20"/>
          <w:szCs w:val="20"/>
          <w:u w:val="single"/>
        </w:rPr>
        <w:t>:</w:t>
      </w:r>
      <w:r w:rsidR="008F1DF6" w:rsidRPr="009200DB">
        <w:rPr>
          <w:sz w:val="20"/>
          <w:szCs w:val="20"/>
        </w:rPr>
        <w:t xml:space="preserve"> </w:t>
      </w:r>
    </w:p>
    <w:p w14:paraId="06C0A3A6" w14:textId="01D29149" w:rsidR="00BC4CCA" w:rsidRPr="00BC4CCA" w:rsidRDefault="006B0CAF" w:rsidP="00BC4CCA">
      <w:pPr>
        <w:pStyle w:val="ListParagraph"/>
        <w:numPr>
          <w:ilvl w:val="0"/>
          <w:numId w:val="33"/>
        </w:numPr>
        <w:spacing w:after="160" w:line="259" w:lineRule="auto"/>
        <w:rPr>
          <w:sz w:val="20"/>
          <w:szCs w:val="20"/>
        </w:rPr>
      </w:pPr>
      <w:r>
        <w:rPr>
          <w:sz w:val="20"/>
          <w:szCs w:val="20"/>
        </w:rPr>
        <w:t>The AP 3-</w:t>
      </w:r>
      <w:r w:rsidR="001C69A0" w:rsidRPr="001C69A0">
        <w:rPr>
          <w:sz w:val="20"/>
          <w:szCs w:val="20"/>
        </w:rPr>
        <w:t>way match should be performed before any payments are made to vendors. This involves the matching of the PO, invoice and receiving report. Matching of these 3 documents ensures that goods are authorized (management’s assertion of rights and obligations), have been received (management’s assertion of existence), and the amounts to be p</w:t>
      </w:r>
      <w:r w:rsidR="001C69A0">
        <w:rPr>
          <w:sz w:val="20"/>
          <w:szCs w:val="20"/>
        </w:rPr>
        <w:t>aid are accurate (completeness).</w:t>
      </w:r>
    </w:p>
    <w:p w14:paraId="0DC08F77" w14:textId="2CB3FCF1" w:rsidR="001C69A0" w:rsidRDefault="006B0CAF" w:rsidP="00BC4CCA">
      <w:pPr>
        <w:pStyle w:val="ListParagraph"/>
        <w:numPr>
          <w:ilvl w:val="1"/>
          <w:numId w:val="36"/>
        </w:numPr>
        <w:spacing w:after="160" w:line="259" w:lineRule="auto"/>
        <w:rPr>
          <w:sz w:val="20"/>
          <w:szCs w:val="20"/>
        </w:rPr>
      </w:pPr>
      <w:r>
        <w:rPr>
          <w:sz w:val="20"/>
          <w:szCs w:val="20"/>
        </w:rPr>
        <w:t>Once the AP 3-</w:t>
      </w:r>
      <w:r w:rsidR="00BC4CCA" w:rsidRPr="00BC4CCA">
        <w:rPr>
          <w:sz w:val="20"/>
          <w:szCs w:val="20"/>
        </w:rPr>
        <w:t>way match has been performed, a check</w:t>
      </w:r>
      <w:r w:rsidR="00B3083F">
        <w:rPr>
          <w:sz w:val="20"/>
          <w:szCs w:val="20"/>
        </w:rPr>
        <w:t xml:space="preserve"> or request for ACH to the vendor</w:t>
      </w:r>
      <w:r w:rsidR="00BC4CCA" w:rsidRPr="00BC4CCA">
        <w:rPr>
          <w:sz w:val="20"/>
          <w:szCs w:val="20"/>
        </w:rPr>
        <w:t xml:space="preserve"> is generated and should be</w:t>
      </w:r>
      <w:r>
        <w:rPr>
          <w:sz w:val="20"/>
          <w:szCs w:val="20"/>
        </w:rPr>
        <w:t xml:space="preserve"> sent, along with the AP-</w:t>
      </w:r>
      <w:r w:rsidR="006F7B04">
        <w:rPr>
          <w:sz w:val="20"/>
          <w:szCs w:val="20"/>
        </w:rPr>
        <w:t>3 way match packet, to</w:t>
      </w:r>
      <w:r w:rsidR="00BC4CCA" w:rsidRPr="00BC4CCA">
        <w:rPr>
          <w:sz w:val="20"/>
          <w:szCs w:val="20"/>
        </w:rPr>
        <w:t xml:space="preserve"> </w:t>
      </w:r>
      <w:r w:rsidR="00824F9C">
        <w:rPr>
          <w:sz w:val="20"/>
          <w:szCs w:val="20"/>
        </w:rPr>
        <w:t>Green Toy</w:t>
      </w:r>
      <w:r w:rsidR="00BC4CCA" w:rsidRPr="00BC4CCA">
        <w:rPr>
          <w:sz w:val="20"/>
          <w:szCs w:val="20"/>
        </w:rPr>
        <w:t>s</w:t>
      </w:r>
      <w:r w:rsidR="00824F9C">
        <w:rPr>
          <w:sz w:val="20"/>
          <w:szCs w:val="20"/>
        </w:rPr>
        <w:t>’</w:t>
      </w:r>
      <w:r w:rsidR="00BC4CCA" w:rsidRPr="00BC4CCA">
        <w:rPr>
          <w:sz w:val="20"/>
          <w:szCs w:val="20"/>
        </w:rPr>
        <w:t xml:space="preserve"> Controller / CFO</w:t>
      </w:r>
      <w:r w:rsidR="006F7B04">
        <w:rPr>
          <w:sz w:val="20"/>
          <w:szCs w:val="20"/>
        </w:rPr>
        <w:t xml:space="preserve"> to sign</w:t>
      </w:r>
      <w:r w:rsidR="00BC4CCA" w:rsidRPr="00BC4CCA">
        <w:rPr>
          <w:sz w:val="20"/>
          <w:szCs w:val="20"/>
        </w:rPr>
        <w:t>.</w:t>
      </w:r>
    </w:p>
    <w:p w14:paraId="64C3C107" w14:textId="0CF12CE7" w:rsidR="005C1A94" w:rsidRDefault="005C1A94" w:rsidP="00BC4CCA">
      <w:pPr>
        <w:pStyle w:val="ListParagraph"/>
        <w:numPr>
          <w:ilvl w:val="1"/>
          <w:numId w:val="36"/>
        </w:numPr>
        <w:spacing w:after="160" w:line="259" w:lineRule="auto"/>
        <w:rPr>
          <w:sz w:val="20"/>
          <w:szCs w:val="20"/>
        </w:rPr>
      </w:pPr>
      <w:r>
        <w:rPr>
          <w:sz w:val="20"/>
          <w:szCs w:val="20"/>
        </w:rPr>
        <w:t>Once the check is signed</w:t>
      </w:r>
      <w:r w:rsidR="00B3083F">
        <w:rPr>
          <w:sz w:val="20"/>
          <w:szCs w:val="20"/>
        </w:rPr>
        <w:t xml:space="preserve"> / ACH approved</w:t>
      </w:r>
      <w:r>
        <w:rPr>
          <w:sz w:val="20"/>
          <w:szCs w:val="20"/>
        </w:rPr>
        <w:t xml:space="preserve"> the </w:t>
      </w:r>
      <w:r w:rsidR="006546E8">
        <w:rPr>
          <w:sz w:val="20"/>
          <w:szCs w:val="20"/>
        </w:rPr>
        <w:t xml:space="preserve">Controller / CFO </w:t>
      </w:r>
      <w:r w:rsidR="00B3083F">
        <w:rPr>
          <w:sz w:val="20"/>
          <w:szCs w:val="20"/>
        </w:rPr>
        <w:t xml:space="preserve">/ Treasurer </w:t>
      </w:r>
      <w:r w:rsidR="006546E8">
        <w:rPr>
          <w:sz w:val="20"/>
          <w:szCs w:val="20"/>
        </w:rPr>
        <w:t xml:space="preserve">should cancel the </w:t>
      </w:r>
      <w:r>
        <w:rPr>
          <w:sz w:val="20"/>
          <w:szCs w:val="20"/>
        </w:rPr>
        <w:t>AP 3 way match packet so that it cannot be used again.</w:t>
      </w:r>
    </w:p>
    <w:p w14:paraId="436E4FDD" w14:textId="0196367F" w:rsidR="00B3083F" w:rsidRDefault="00B3083F" w:rsidP="00BC4CCA">
      <w:pPr>
        <w:pStyle w:val="ListParagraph"/>
        <w:numPr>
          <w:ilvl w:val="1"/>
          <w:numId w:val="36"/>
        </w:numPr>
        <w:spacing w:after="160" w:line="259" w:lineRule="auto"/>
        <w:rPr>
          <w:sz w:val="20"/>
          <w:szCs w:val="20"/>
        </w:rPr>
      </w:pPr>
      <w:r>
        <w:rPr>
          <w:sz w:val="20"/>
          <w:szCs w:val="20"/>
        </w:rPr>
        <w:t xml:space="preserve">This separates recording of the AP from payment by the accounting department from cash disbursement of </w:t>
      </w:r>
      <w:r w:rsidR="00824F9C">
        <w:rPr>
          <w:sz w:val="20"/>
          <w:szCs w:val="20"/>
        </w:rPr>
        <w:t>Green Toys</w:t>
      </w:r>
      <w:r>
        <w:rPr>
          <w:sz w:val="20"/>
          <w:szCs w:val="20"/>
        </w:rPr>
        <w:t xml:space="preserve"> assets by the Controller / CFO / Treasurer.</w:t>
      </w:r>
    </w:p>
    <w:p w14:paraId="79E79E3F" w14:textId="5AE97BCF" w:rsidR="00086D97" w:rsidRDefault="00086D97" w:rsidP="00086D97">
      <w:pPr>
        <w:pStyle w:val="ListParagraph"/>
        <w:spacing w:after="160" w:line="259" w:lineRule="auto"/>
        <w:ind w:left="360"/>
        <w:rPr>
          <w:sz w:val="20"/>
          <w:szCs w:val="20"/>
        </w:rPr>
      </w:pPr>
    </w:p>
    <w:p w14:paraId="4A3F8EDD" w14:textId="77777777" w:rsidR="00086D97" w:rsidRDefault="00086D97" w:rsidP="00086D97">
      <w:pPr>
        <w:pStyle w:val="ListParagraph"/>
        <w:spacing w:after="160" w:line="259" w:lineRule="auto"/>
        <w:ind w:left="360"/>
        <w:rPr>
          <w:sz w:val="20"/>
          <w:szCs w:val="20"/>
        </w:rPr>
      </w:pPr>
    </w:p>
    <w:p w14:paraId="2A4638F6" w14:textId="587994D2" w:rsidR="00521DD5" w:rsidRDefault="00521DD5" w:rsidP="00521DD5">
      <w:pPr>
        <w:pStyle w:val="ListParagraph"/>
        <w:numPr>
          <w:ilvl w:val="0"/>
          <w:numId w:val="14"/>
        </w:numPr>
        <w:spacing w:after="160" w:line="259" w:lineRule="auto"/>
        <w:rPr>
          <w:b/>
          <w:sz w:val="20"/>
          <w:szCs w:val="20"/>
        </w:rPr>
      </w:pPr>
      <w:r w:rsidRPr="00521DD5">
        <w:rPr>
          <w:b/>
          <w:sz w:val="20"/>
          <w:szCs w:val="20"/>
        </w:rPr>
        <w:t>Monthly AP Reconciliation:</w:t>
      </w:r>
    </w:p>
    <w:p w14:paraId="4B4F1AA0" w14:textId="77777777" w:rsidR="002333AC" w:rsidRDefault="002333AC" w:rsidP="002333AC">
      <w:pPr>
        <w:pStyle w:val="ListParagraph"/>
        <w:spacing w:after="160" w:line="259" w:lineRule="auto"/>
        <w:rPr>
          <w:b/>
          <w:sz w:val="20"/>
          <w:szCs w:val="20"/>
        </w:rPr>
      </w:pPr>
    </w:p>
    <w:p w14:paraId="44E0ADF9" w14:textId="11EAA01E" w:rsidR="00E26EA6" w:rsidRPr="00E26EA6" w:rsidRDefault="002333AC" w:rsidP="00E26EA6">
      <w:pPr>
        <w:pStyle w:val="ListParagraph"/>
        <w:numPr>
          <w:ilvl w:val="0"/>
          <w:numId w:val="37"/>
        </w:numPr>
        <w:spacing w:after="160" w:line="259" w:lineRule="auto"/>
        <w:rPr>
          <w:sz w:val="20"/>
          <w:szCs w:val="20"/>
        </w:rPr>
      </w:pPr>
      <w:r>
        <w:rPr>
          <w:sz w:val="20"/>
          <w:szCs w:val="20"/>
        </w:rPr>
        <w:t>The purpose of monthly AP reconciliation ensures control over management’s assertions of completeness</w:t>
      </w:r>
      <w:r w:rsidR="00B265DB">
        <w:rPr>
          <w:sz w:val="20"/>
          <w:szCs w:val="20"/>
        </w:rPr>
        <w:t xml:space="preserve"> / cut of</w:t>
      </w:r>
      <w:r>
        <w:rPr>
          <w:sz w:val="20"/>
          <w:szCs w:val="20"/>
        </w:rPr>
        <w:t>, existence, rights and obligati</w:t>
      </w:r>
      <w:r w:rsidR="00597541">
        <w:rPr>
          <w:sz w:val="20"/>
          <w:szCs w:val="20"/>
        </w:rPr>
        <w:t xml:space="preserve">ons, </w:t>
      </w:r>
      <w:r w:rsidR="00B265DB">
        <w:rPr>
          <w:sz w:val="20"/>
          <w:szCs w:val="20"/>
        </w:rPr>
        <w:t xml:space="preserve">valuation / allocation </w:t>
      </w:r>
      <w:r w:rsidR="00597541">
        <w:rPr>
          <w:sz w:val="20"/>
          <w:szCs w:val="20"/>
        </w:rPr>
        <w:t xml:space="preserve">and presentation and disclosure to ensure the fair presentation of </w:t>
      </w:r>
      <w:r w:rsidR="00824F9C">
        <w:rPr>
          <w:sz w:val="20"/>
          <w:szCs w:val="20"/>
        </w:rPr>
        <w:t>Green Toys’</w:t>
      </w:r>
      <w:r w:rsidR="00597541">
        <w:rPr>
          <w:sz w:val="20"/>
          <w:szCs w:val="20"/>
        </w:rPr>
        <w:t xml:space="preserve"> financial reporting.</w:t>
      </w:r>
    </w:p>
    <w:p w14:paraId="26D613C0" w14:textId="730720DF" w:rsidR="003533D2" w:rsidRDefault="00824F9C" w:rsidP="00E26EA6">
      <w:pPr>
        <w:pStyle w:val="ListParagraph"/>
        <w:numPr>
          <w:ilvl w:val="1"/>
          <w:numId w:val="38"/>
        </w:numPr>
        <w:spacing w:after="160" w:line="259" w:lineRule="auto"/>
        <w:rPr>
          <w:sz w:val="20"/>
          <w:szCs w:val="20"/>
        </w:rPr>
      </w:pPr>
      <w:r>
        <w:rPr>
          <w:sz w:val="20"/>
          <w:szCs w:val="20"/>
        </w:rPr>
        <w:t>Green Toy</w:t>
      </w:r>
      <w:r w:rsidR="00B3083F" w:rsidRPr="00E26EA6">
        <w:rPr>
          <w:sz w:val="20"/>
          <w:szCs w:val="20"/>
        </w:rPr>
        <w:t>s</w:t>
      </w:r>
      <w:r>
        <w:rPr>
          <w:sz w:val="20"/>
          <w:szCs w:val="20"/>
        </w:rPr>
        <w:t>’</w:t>
      </w:r>
      <w:r w:rsidR="00B3083F" w:rsidRPr="00E26EA6">
        <w:rPr>
          <w:sz w:val="20"/>
          <w:szCs w:val="20"/>
        </w:rPr>
        <w:t xml:space="preserve"> accounting department should perform monthly bank reconciliations to ensure that payments to vendors have </w:t>
      </w:r>
      <w:r w:rsidR="00AD71DD" w:rsidRPr="00E26EA6">
        <w:rPr>
          <w:sz w:val="20"/>
          <w:szCs w:val="20"/>
        </w:rPr>
        <w:t>cleared the bank account.</w:t>
      </w:r>
    </w:p>
    <w:p w14:paraId="25A59CC2" w14:textId="193EB78B" w:rsidR="000C5ED1" w:rsidRDefault="00BA43C9" w:rsidP="00E26EA6">
      <w:pPr>
        <w:pStyle w:val="ListParagraph"/>
        <w:numPr>
          <w:ilvl w:val="1"/>
          <w:numId w:val="38"/>
        </w:numPr>
        <w:spacing w:after="160" w:line="259" w:lineRule="auto"/>
        <w:rPr>
          <w:sz w:val="20"/>
          <w:szCs w:val="20"/>
        </w:rPr>
      </w:pPr>
      <w:r>
        <w:rPr>
          <w:sz w:val="20"/>
          <w:szCs w:val="20"/>
        </w:rPr>
        <w:t>Green Toy</w:t>
      </w:r>
      <w:r w:rsidR="003533D2">
        <w:rPr>
          <w:sz w:val="20"/>
          <w:szCs w:val="20"/>
        </w:rPr>
        <w:t>s</w:t>
      </w:r>
      <w:r>
        <w:rPr>
          <w:sz w:val="20"/>
          <w:szCs w:val="20"/>
        </w:rPr>
        <w:t>’</w:t>
      </w:r>
      <w:r w:rsidR="003533D2">
        <w:rPr>
          <w:sz w:val="20"/>
          <w:szCs w:val="20"/>
        </w:rPr>
        <w:t xml:space="preserve"> accounting department should reconcile the AP sub-ledger to the general ledger to ensure that they match and investigate any differences.</w:t>
      </w:r>
    </w:p>
    <w:p w14:paraId="4F8124B3" w14:textId="4347EA77" w:rsidR="003533D2" w:rsidRDefault="003533D2" w:rsidP="00E26EA6">
      <w:pPr>
        <w:pStyle w:val="ListParagraph"/>
        <w:numPr>
          <w:ilvl w:val="1"/>
          <w:numId w:val="38"/>
        </w:numPr>
        <w:spacing w:after="160" w:line="259" w:lineRule="auto"/>
        <w:rPr>
          <w:sz w:val="20"/>
          <w:szCs w:val="20"/>
        </w:rPr>
      </w:pPr>
      <w:r>
        <w:rPr>
          <w:sz w:val="20"/>
          <w:szCs w:val="20"/>
        </w:rPr>
        <w:t>On a monthly basis, the AP aging report should be run and any usual items, balances outstanding &gt; 30 days, and AP &gt; $</w:t>
      </w:r>
      <w:r w:rsidR="00BA43C9">
        <w:rPr>
          <w:sz w:val="20"/>
          <w:szCs w:val="20"/>
        </w:rPr>
        <w:t>2,5</w:t>
      </w:r>
      <w:r>
        <w:rPr>
          <w:sz w:val="20"/>
          <w:szCs w:val="20"/>
        </w:rPr>
        <w:t>00 threshold should be investigated, reviewed for completeness and recording in the correct period.</w:t>
      </w:r>
    </w:p>
    <w:p w14:paraId="2561A7B8" w14:textId="0669AB47" w:rsidR="003533D2" w:rsidRPr="00E26EA6" w:rsidRDefault="003533D2" w:rsidP="00E26EA6">
      <w:pPr>
        <w:pStyle w:val="ListParagraph"/>
        <w:numPr>
          <w:ilvl w:val="1"/>
          <w:numId w:val="38"/>
        </w:numPr>
        <w:spacing w:after="160" w:line="259" w:lineRule="auto"/>
        <w:rPr>
          <w:sz w:val="20"/>
          <w:szCs w:val="20"/>
        </w:rPr>
      </w:pPr>
      <w:r>
        <w:rPr>
          <w:sz w:val="20"/>
          <w:szCs w:val="20"/>
        </w:rPr>
        <w:t>For each monthly close, the accounting department should inquire about any goods or services that have been received / rendered for which invoices have not yet been received and make an accrual for those goods and services. The accrual should be reversed once the invoice has been received and AP can be recorded.</w:t>
      </w:r>
    </w:p>
    <w:p w14:paraId="2324634B" w14:textId="77777777" w:rsidR="001B4169" w:rsidRDefault="001B4169" w:rsidP="000C5ED1">
      <w:pPr>
        <w:pStyle w:val="ListParagraph"/>
        <w:numPr>
          <w:ilvl w:val="1"/>
          <w:numId w:val="38"/>
        </w:numPr>
        <w:spacing w:after="160" w:line="259" w:lineRule="auto"/>
        <w:rPr>
          <w:sz w:val="20"/>
          <w:szCs w:val="20"/>
        </w:rPr>
      </w:pPr>
      <w:r>
        <w:rPr>
          <w:sz w:val="20"/>
          <w:szCs w:val="20"/>
        </w:rPr>
        <w:lastRenderedPageBreak/>
        <w:t>On a monthly basis, additions should be reviewed to determine they are correctly accounted for to ensure proper valuation / allocation and presentation / disclosure in the financial statements:</w:t>
      </w:r>
    </w:p>
    <w:p w14:paraId="25B74932" w14:textId="0C8A5560" w:rsidR="001B4169" w:rsidRDefault="00611B33" w:rsidP="001B4169">
      <w:pPr>
        <w:pStyle w:val="ListParagraph"/>
        <w:numPr>
          <w:ilvl w:val="0"/>
          <w:numId w:val="39"/>
        </w:numPr>
        <w:spacing w:after="160" w:line="259" w:lineRule="auto"/>
        <w:rPr>
          <w:sz w:val="20"/>
          <w:szCs w:val="20"/>
        </w:rPr>
      </w:pPr>
      <w:r>
        <w:rPr>
          <w:sz w:val="20"/>
          <w:szCs w:val="20"/>
        </w:rPr>
        <w:t>Additions that are period expenses may be expensed as incurred.</w:t>
      </w:r>
    </w:p>
    <w:p w14:paraId="31FA05F7" w14:textId="1B5A4D2A" w:rsidR="00611B33" w:rsidRDefault="00611B33" w:rsidP="001B4169">
      <w:pPr>
        <w:pStyle w:val="ListParagraph"/>
        <w:numPr>
          <w:ilvl w:val="0"/>
          <w:numId w:val="39"/>
        </w:numPr>
        <w:spacing w:after="160" w:line="259" w:lineRule="auto"/>
        <w:rPr>
          <w:sz w:val="20"/>
          <w:szCs w:val="20"/>
        </w:rPr>
      </w:pPr>
      <w:r>
        <w:rPr>
          <w:sz w:val="20"/>
          <w:szCs w:val="20"/>
        </w:rPr>
        <w:t>Additions that are product costs may go into inventory before they are sold, at which point they will  become COGS.</w:t>
      </w:r>
    </w:p>
    <w:p w14:paraId="28449D73" w14:textId="4514D12A" w:rsidR="00611B33" w:rsidRDefault="00BA43C9" w:rsidP="00611B33">
      <w:pPr>
        <w:pStyle w:val="ListParagraph"/>
        <w:numPr>
          <w:ilvl w:val="0"/>
          <w:numId w:val="39"/>
        </w:numPr>
        <w:spacing w:after="160" w:line="259" w:lineRule="auto"/>
        <w:rPr>
          <w:sz w:val="20"/>
          <w:szCs w:val="20"/>
        </w:rPr>
      </w:pPr>
      <w:r>
        <w:rPr>
          <w:sz w:val="20"/>
          <w:szCs w:val="20"/>
        </w:rPr>
        <w:t>Good purchased &gt; $2,5</w:t>
      </w:r>
      <w:r w:rsidR="000C5ED1" w:rsidRPr="001B4169">
        <w:rPr>
          <w:sz w:val="20"/>
          <w:szCs w:val="20"/>
        </w:rPr>
        <w:t>00 should be flagged as possible capital assets, and moved to the fixed asset schedule to be depreciated.</w:t>
      </w:r>
      <w:r w:rsidR="00611B33">
        <w:rPr>
          <w:sz w:val="20"/>
          <w:szCs w:val="20"/>
        </w:rPr>
        <w:t xml:space="preserve">  Depreciation should be recorded that month if placed in service before 15</w:t>
      </w:r>
      <w:r w:rsidR="00611B33" w:rsidRPr="00611B33">
        <w:rPr>
          <w:sz w:val="20"/>
          <w:szCs w:val="20"/>
          <w:vertAlign w:val="superscript"/>
        </w:rPr>
        <w:t>th</w:t>
      </w:r>
      <w:r w:rsidR="00611B33">
        <w:rPr>
          <w:sz w:val="20"/>
          <w:szCs w:val="20"/>
        </w:rPr>
        <w:t xml:space="preserve"> and the subsequent month if placed in services after 15</w:t>
      </w:r>
      <w:r w:rsidR="00611B33" w:rsidRPr="00611B33">
        <w:rPr>
          <w:sz w:val="20"/>
          <w:szCs w:val="20"/>
          <w:vertAlign w:val="superscript"/>
        </w:rPr>
        <w:t>th</w:t>
      </w:r>
      <w:r w:rsidR="00611B33">
        <w:rPr>
          <w:sz w:val="20"/>
          <w:szCs w:val="20"/>
        </w:rPr>
        <w:t xml:space="preserve"> according to the half month convention.</w:t>
      </w:r>
    </w:p>
    <w:p w14:paraId="6A32F223" w14:textId="66CB105F" w:rsidR="000C5ED1" w:rsidRPr="00611B33" w:rsidRDefault="000C5ED1" w:rsidP="00611B33">
      <w:pPr>
        <w:pStyle w:val="ListParagraph"/>
        <w:numPr>
          <w:ilvl w:val="0"/>
          <w:numId w:val="39"/>
        </w:numPr>
        <w:spacing w:after="160" w:line="259" w:lineRule="auto"/>
        <w:rPr>
          <w:sz w:val="20"/>
          <w:szCs w:val="20"/>
        </w:rPr>
      </w:pPr>
      <w:r w:rsidRPr="00611B33">
        <w:rPr>
          <w:sz w:val="20"/>
          <w:szCs w:val="20"/>
        </w:rPr>
        <w:t>Any disbursements made in advance of the receipts of goods / services &gt; $</w:t>
      </w:r>
      <w:r w:rsidR="00696020">
        <w:rPr>
          <w:sz w:val="20"/>
          <w:szCs w:val="20"/>
        </w:rPr>
        <w:t>1</w:t>
      </w:r>
      <w:r w:rsidR="002561FD" w:rsidRPr="00611B33">
        <w:rPr>
          <w:sz w:val="20"/>
          <w:szCs w:val="20"/>
        </w:rPr>
        <w:t>,000</w:t>
      </w:r>
      <w:r w:rsidRPr="00611B33">
        <w:rPr>
          <w:sz w:val="20"/>
          <w:szCs w:val="20"/>
        </w:rPr>
        <w:t xml:space="preserve"> should be flagged as possible </w:t>
      </w:r>
      <w:proofErr w:type="spellStart"/>
      <w:r w:rsidRPr="00611B33">
        <w:rPr>
          <w:sz w:val="20"/>
          <w:szCs w:val="20"/>
        </w:rPr>
        <w:t>prepaids</w:t>
      </w:r>
      <w:proofErr w:type="spellEnd"/>
      <w:r w:rsidRPr="00611B33">
        <w:rPr>
          <w:sz w:val="20"/>
          <w:szCs w:val="20"/>
        </w:rPr>
        <w:t xml:space="preserve">, and moved to the </w:t>
      </w:r>
      <w:proofErr w:type="spellStart"/>
      <w:r w:rsidRPr="00611B33">
        <w:rPr>
          <w:sz w:val="20"/>
          <w:szCs w:val="20"/>
        </w:rPr>
        <w:t>prepaids</w:t>
      </w:r>
      <w:proofErr w:type="spellEnd"/>
      <w:r w:rsidRPr="00611B33">
        <w:rPr>
          <w:sz w:val="20"/>
          <w:szCs w:val="20"/>
        </w:rPr>
        <w:t xml:space="preserve"> schedule to be amortized.</w:t>
      </w:r>
      <w:r w:rsidR="00611B33">
        <w:rPr>
          <w:sz w:val="20"/>
          <w:szCs w:val="20"/>
        </w:rPr>
        <w:t xml:space="preserve">  Amortization should begin once the goods are used or the services rendered.</w:t>
      </w:r>
    </w:p>
    <w:p w14:paraId="11A77E65" w14:textId="7C46E059" w:rsidR="00597541" w:rsidRPr="000C5ED1" w:rsidRDefault="00597541" w:rsidP="00611B33">
      <w:pPr>
        <w:pStyle w:val="ListParagraph"/>
        <w:spacing w:after="160" w:line="259" w:lineRule="auto"/>
        <w:ind w:left="360"/>
        <w:rPr>
          <w:sz w:val="20"/>
          <w:szCs w:val="20"/>
        </w:rPr>
      </w:pPr>
    </w:p>
    <w:p w14:paraId="64DA1E18" w14:textId="77777777" w:rsidR="009200DB" w:rsidRDefault="009200DB" w:rsidP="0096644F">
      <w:pPr>
        <w:spacing w:after="160" w:line="259" w:lineRule="auto"/>
        <w:rPr>
          <w:rFonts w:eastAsia="Calibri" w:cs="Times New Roman"/>
          <w:sz w:val="20"/>
          <w:szCs w:val="20"/>
        </w:rPr>
      </w:pPr>
    </w:p>
    <w:p w14:paraId="7A44D10C" w14:textId="1B98E707" w:rsidR="00497141" w:rsidRPr="00497141" w:rsidRDefault="00497141" w:rsidP="00497141">
      <w:pPr>
        <w:pStyle w:val="NoSpacing"/>
        <w:rPr>
          <w:rFonts w:cs="Times New Roman"/>
          <w:sz w:val="20"/>
          <w:szCs w:val="20"/>
        </w:rPr>
      </w:pPr>
    </w:p>
    <w:p w14:paraId="1694F599" w14:textId="23FD3A7C" w:rsidR="00F501E7" w:rsidRPr="00980111" w:rsidRDefault="00F501E7" w:rsidP="00497141">
      <w:pPr>
        <w:pStyle w:val="NoSpacing"/>
        <w:ind w:left="360"/>
        <w:rPr>
          <w:rFonts w:cs="Times New Roman"/>
          <w:sz w:val="20"/>
          <w:szCs w:val="20"/>
        </w:rPr>
      </w:pPr>
    </w:p>
    <w:sectPr w:rsidR="00F501E7" w:rsidRPr="00980111" w:rsidSect="00A2515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0AC894" w14:textId="77777777" w:rsidR="005A79FC" w:rsidRDefault="005A79FC" w:rsidP="00D6420A">
      <w:pPr>
        <w:spacing w:after="0" w:line="240" w:lineRule="auto"/>
      </w:pPr>
      <w:r>
        <w:separator/>
      </w:r>
    </w:p>
  </w:endnote>
  <w:endnote w:type="continuationSeparator" w:id="0">
    <w:p w14:paraId="5A5746DE" w14:textId="77777777" w:rsidR="005A79FC" w:rsidRDefault="005A79FC" w:rsidP="00D64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w:altName w:val="Corbel"/>
    <w:charset w:val="00"/>
    <w:family w:val="auto"/>
    <w:pitch w:val="variable"/>
    <w:sig w:usb0="00000001" w:usb1="5000206A"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789481"/>
      <w:docPartObj>
        <w:docPartGallery w:val="Page Numbers (Bottom of Page)"/>
        <w:docPartUnique/>
      </w:docPartObj>
    </w:sdtPr>
    <w:sdtEndPr>
      <w:rPr>
        <w:noProof/>
      </w:rPr>
    </w:sdtEndPr>
    <w:sdtContent>
      <w:p w14:paraId="3EDD5DD5" w14:textId="1D6DAF4B" w:rsidR="00290C20" w:rsidRDefault="00290C20">
        <w:pPr>
          <w:pStyle w:val="Footer"/>
          <w:jc w:val="center"/>
        </w:pPr>
        <w:r>
          <w:fldChar w:fldCharType="begin"/>
        </w:r>
        <w:r>
          <w:instrText xml:space="preserve"> PAGE   \* MERGEFORMAT </w:instrText>
        </w:r>
        <w:r>
          <w:fldChar w:fldCharType="separate"/>
        </w:r>
        <w:r w:rsidR="000D6272">
          <w:rPr>
            <w:noProof/>
          </w:rPr>
          <w:t>4</w:t>
        </w:r>
        <w:r>
          <w:rPr>
            <w:noProof/>
          </w:rPr>
          <w:fldChar w:fldCharType="end"/>
        </w:r>
      </w:p>
    </w:sdtContent>
  </w:sdt>
  <w:p w14:paraId="4D659629" w14:textId="77777777" w:rsidR="00290C20" w:rsidRDefault="00290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561CB" w14:textId="77777777" w:rsidR="005A79FC" w:rsidRDefault="005A79FC" w:rsidP="00D6420A">
      <w:pPr>
        <w:spacing w:after="0" w:line="240" w:lineRule="auto"/>
      </w:pPr>
      <w:r>
        <w:separator/>
      </w:r>
    </w:p>
  </w:footnote>
  <w:footnote w:type="continuationSeparator" w:id="0">
    <w:p w14:paraId="6E82197D" w14:textId="77777777" w:rsidR="005A79FC" w:rsidRDefault="005A79FC" w:rsidP="00D64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62FC"/>
    <w:multiLevelType w:val="multilevel"/>
    <w:tmpl w:val="4B486E3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bullet"/>
      <w:lvlText w:val=""/>
      <w:lvlJc w:val="left"/>
      <w:pPr>
        <w:ind w:left="2880" w:hanging="720"/>
      </w:pPr>
      <w:rPr>
        <w:rFonts w:ascii="Symbol" w:hAnsi="Symbol"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36C6F88"/>
    <w:multiLevelType w:val="hybridMultilevel"/>
    <w:tmpl w:val="09D0B0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F75467"/>
    <w:multiLevelType w:val="multilevel"/>
    <w:tmpl w:val="8924A17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C47816"/>
    <w:multiLevelType w:val="multilevel"/>
    <w:tmpl w:val="99EC9908"/>
    <w:lvl w:ilvl="0">
      <w:start w:val="1"/>
      <w:numFmt w:val="decimal"/>
      <w:lvlText w:val="%1."/>
      <w:lvlJc w:val="left"/>
      <w:pPr>
        <w:ind w:left="360" w:hanging="360"/>
      </w:pPr>
      <w:rPr>
        <w:rFonts w:hint="default"/>
      </w:rPr>
    </w:lvl>
    <w:lvl w:ilv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720" w:hanging="72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080" w:hanging="108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440" w:hanging="1440"/>
      </w:pPr>
      <w:rPr>
        <w:rFonts w:hint="default"/>
        <w:b w:val="0"/>
      </w:rPr>
    </w:lvl>
  </w:abstractNum>
  <w:abstractNum w:abstractNumId="4">
    <w:nsid w:val="05E96452"/>
    <w:multiLevelType w:val="hybridMultilevel"/>
    <w:tmpl w:val="EC5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332F12"/>
    <w:multiLevelType w:val="hybridMultilevel"/>
    <w:tmpl w:val="E38E5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DD2557"/>
    <w:multiLevelType w:val="multilevel"/>
    <w:tmpl w:val="5662636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316FE3"/>
    <w:multiLevelType w:val="hybridMultilevel"/>
    <w:tmpl w:val="C748B06C"/>
    <w:lvl w:ilvl="0" w:tplc="92AC74D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05C4DA2"/>
    <w:multiLevelType w:val="multilevel"/>
    <w:tmpl w:val="2EA289F0"/>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192D0E8C"/>
    <w:multiLevelType w:val="hybridMultilevel"/>
    <w:tmpl w:val="753A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55DE7"/>
    <w:multiLevelType w:val="hybridMultilevel"/>
    <w:tmpl w:val="4C9A23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531453"/>
    <w:multiLevelType w:val="multilevel"/>
    <w:tmpl w:val="B72CA3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06C7D79"/>
    <w:multiLevelType w:val="hybridMultilevel"/>
    <w:tmpl w:val="A98E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0440AA"/>
    <w:multiLevelType w:val="multilevel"/>
    <w:tmpl w:val="D7B24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9CC3310"/>
    <w:multiLevelType w:val="hybridMultilevel"/>
    <w:tmpl w:val="6E426F84"/>
    <w:lvl w:ilvl="0" w:tplc="0409000F">
      <w:start w:val="1"/>
      <w:numFmt w:val="decimal"/>
      <w:lvlText w:val="%1."/>
      <w:lvlJc w:val="left"/>
      <w:pPr>
        <w:ind w:left="360" w:hanging="360"/>
      </w:pPr>
      <w:rPr>
        <w:rFonts w:hint="default"/>
      </w:rPr>
    </w:lvl>
    <w:lvl w:ilvl="1" w:tplc="468A67A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9DC0976"/>
    <w:multiLevelType w:val="multilevel"/>
    <w:tmpl w:val="31C0E64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BA50F95"/>
    <w:multiLevelType w:val="hybridMultilevel"/>
    <w:tmpl w:val="D1BE0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06649"/>
    <w:multiLevelType w:val="hybridMultilevel"/>
    <w:tmpl w:val="7EE23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C837E9"/>
    <w:multiLevelType w:val="hybridMultilevel"/>
    <w:tmpl w:val="34502B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3C6DFD"/>
    <w:multiLevelType w:val="multilevel"/>
    <w:tmpl w:val="90742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35937845"/>
    <w:multiLevelType w:val="hybridMultilevel"/>
    <w:tmpl w:val="424498A4"/>
    <w:lvl w:ilvl="0" w:tplc="4B1CCF5A">
      <w:start w:val="1"/>
      <w:numFmt w:val="lowerRoman"/>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72E2C15"/>
    <w:multiLevelType w:val="hybridMultilevel"/>
    <w:tmpl w:val="C032C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9160C3"/>
    <w:multiLevelType w:val="hybridMultilevel"/>
    <w:tmpl w:val="EE281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974131"/>
    <w:multiLevelType w:val="hybridMultilevel"/>
    <w:tmpl w:val="80D8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4826EA"/>
    <w:multiLevelType w:val="hybridMultilevel"/>
    <w:tmpl w:val="4982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71E17"/>
    <w:multiLevelType w:val="multilevel"/>
    <w:tmpl w:val="1D3E26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3C5A0542"/>
    <w:multiLevelType w:val="hybridMultilevel"/>
    <w:tmpl w:val="CA244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7A457A"/>
    <w:multiLevelType w:val="multilevel"/>
    <w:tmpl w:val="44721594"/>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493E16B4"/>
    <w:multiLevelType w:val="hybridMultilevel"/>
    <w:tmpl w:val="C5803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A3D56BB"/>
    <w:multiLevelType w:val="hybridMultilevel"/>
    <w:tmpl w:val="7CEA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1303B9"/>
    <w:multiLevelType w:val="multilevel"/>
    <w:tmpl w:val="016E381E"/>
    <w:lvl w:ilvl="0">
      <w:start w:val="1"/>
      <w:numFmt w:val="upperRoman"/>
      <w:lvlText w:val="%1."/>
      <w:lvlJc w:val="left"/>
      <w:pPr>
        <w:ind w:left="720" w:hanging="72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54034215"/>
    <w:multiLevelType w:val="hybridMultilevel"/>
    <w:tmpl w:val="DC3CA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3605BD"/>
    <w:multiLevelType w:val="multilevel"/>
    <w:tmpl w:val="B57868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92B16E0"/>
    <w:multiLevelType w:val="multilevel"/>
    <w:tmpl w:val="97063FA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CCB1588"/>
    <w:multiLevelType w:val="multilevel"/>
    <w:tmpl w:val="5A781B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67AA3ECF"/>
    <w:multiLevelType w:val="hybridMultilevel"/>
    <w:tmpl w:val="8B60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A173B0"/>
    <w:multiLevelType w:val="hybridMultilevel"/>
    <w:tmpl w:val="E9DE8EE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nsid w:val="6E1E449D"/>
    <w:multiLevelType w:val="hybridMultilevel"/>
    <w:tmpl w:val="7CB49C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1D2528B"/>
    <w:multiLevelType w:val="hybridMultilevel"/>
    <w:tmpl w:val="BA62E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B01402"/>
    <w:multiLevelType w:val="hybridMultilevel"/>
    <w:tmpl w:val="AB4AB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0C7E38"/>
    <w:multiLevelType w:val="multilevel"/>
    <w:tmpl w:val="F5C086E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ABB1E8F"/>
    <w:multiLevelType w:val="multilevel"/>
    <w:tmpl w:val="1102EAC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BAC3DF6"/>
    <w:multiLevelType w:val="multilevel"/>
    <w:tmpl w:val="B25AC6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4"/>
  </w:num>
  <w:num w:numId="2">
    <w:abstractNumId w:val="23"/>
  </w:num>
  <w:num w:numId="3">
    <w:abstractNumId w:val="5"/>
  </w:num>
  <w:num w:numId="4">
    <w:abstractNumId w:val="39"/>
  </w:num>
  <w:num w:numId="5">
    <w:abstractNumId w:val="12"/>
  </w:num>
  <w:num w:numId="6">
    <w:abstractNumId w:val="21"/>
  </w:num>
  <w:num w:numId="7">
    <w:abstractNumId w:val="35"/>
  </w:num>
  <w:num w:numId="8">
    <w:abstractNumId w:val="20"/>
  </w:num>
  <w:num w:numId="9">
    <w:abstractNumId w:val="9"/>
  </w:num>
  <w:num w:numId="10">
    <w:abstractNumId w:val="24"/>
  </w:num>
  <w:num w:numId="11">
    <w:abstractNumId w:val="3"/>
  </w:num>
  <w:num w:numId="12">
    <w:abstractNumId w:val="7"/>
  </w:num>
  <w:num w:numId="13">
    <w:abstractNumId w:val="28"/>
  </w:num>
  <w:num w:numId="14">
    <w:abstractNumId w:val="30"/>
  </w:num>
  <w:num w:numId="15">
    <w:abstractNumId w:val="0"/>
  </w:num>
  <w:num w:numId="16">
    <w:abstractNumId w:val="29"/>
  </w:num>
  <w:num w:numId="17">
    <w:abstractNumId w:val="36"/>
  </w:num>
  <w:num w:numId="18">
    <w:abstractNumId w:val="40"/>
  </w:num>
  <w:num w:numId="19">
    <w:abstractNumId w:val="41"/>
  </w:num>
  <w:num w:numId="20">
    <w:abstractNumId w:val="8"/>
  </w:num>
  <w:num w:numId="21">
    <w:abstractNumId w:val="33"/>
  </w:num>
  <w:num w:numId="22">
    <w:abstractNumId w:val="10"/>
  </w:num>
  <w:num w:numId="23">
    <w:abstractNumId w:val="17"/>
  </w:num>
  <w:num w:numId="24">
    <w:abstractNumId w:val="26"/>
  </w:num>
  <w:num w:numId="25">
    <w:abstractNumId w:val="4"/>
  </w:num>
  <w:num w:numId="26">
    <w:abstractNumId w:val="38"/>
  </w:num>
  <w:num w:numId="27">
    <w:abstractNumId w:val="31"/>
  </w:num>
  <w:num w:numId="28">
    <w:abstractNumId w:val="42"/>
  </w:num>
  <w:num w:numId="29">
    <w:abstractNumId w:val="11"/>
  </w:num>
  <w:num w:numId="30">
    <w:abstractNumId w:val="2"/>
  </w:num>
  <w:num w:numId="31">
    <w:abstractNumId w:val="34"/>
  </w:num>
  <w:num w:numId="32">
    <w:abstractNumId w:val="25"/>
  </w:num>
  <w:num w:numId="33">
    <w:abstractNumId w:val="27"/>
  </w:num>
  <w:num w:numId="34">
    <w:abstractNumId w:val="32"/>
  </w:num>
  <w:num w:numId="35">
    <w:abstractNumId w:val="6"/>
  </w:num>
  <w:num w:numId="36">
    <w:abstractNumId w:val="15"/>
  </w:num>
  <w:num w:numId="37">
    <w:abstractNumId w:val="19"/>
  </w:num>
  <w:num w:numId="38">
    <w:abstractNumId w:val="13"/>
  </w:num>
  <w:num w:numId="39">
    <w:abstractNumId w:val="22"/>
  </w:num>
  <w:num w:numId="40">
    <w:abstractNumId w:val="16"/>
  </w:num>
  <w:num w:numId="41">
    <w:abstractNumId w:val="18"/>
  </w:num>
  <w:num w:numId="42">
    <w:abstractNumId w:val="37"/>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3B"/>
    <w:rsid w:val="00025B86"/>
    <w:rsid w:val="00043175"/>
    <w:rsid w:val="00052ACE"/>
    <w:rsid w:val="0005597D"/>
    <w:rsid w:val="000734C2"/>
    <w:rsid w:val="000734D1"/>
    <w:rsid w:val="00086D97"/>
    <w:rsid w:val="000B7E29"/>
    <w:rsid w:val="000C25DE"/>
    <w:rsid w:val="000C394D"/>
    <w:rsid w:val="000C5ED1"/>
    <w:rsid w:val="000D6272"/>
    <w:rsid w:val="000E30C1"/>
    <w:rsid w:val="000E7F3C"/>
    <w:rsid w:val="0012746D"/>
    <w:rsid w:val="001344E3"/>
    <w:rsid w:val="0014089A"/>
    <w:rsid w:val="0014600A"/>
    <w:rsid w:val="001754D2"/>
    <w:rsid w:val="0017667B"/>
    <w:rsid w:val="0018710B"/>
    <w:rsid w:val="001A001C"/>
    <w:rsid w:val="001B4169"/>
    <w:rsid w:val="001B6380"/>
    <w:rsid w:val="001C287B"/>
    <w:rsid w:val="001C5006"/>
    <w:rsid w:val="001C60FA"/>
    <w:rsid w:val="001C69A0"/>
    <w:rsid w:val="001D17D8"/>
    <w:rsid w:val="001D4A74"/>
    <w:rsid w:val="001D5149"/>
    <w:rsid w:val="001E7704"/>
    <w:rsid w:val="001F0836"/>
    <w:rsid w:val="001F1A0F"/>
    <w:rsid w:val="00202906"/>
    <w:rsid w:val="00206634"/>
    <w:rsid w:val="0022506D"/>
    <w:rsid w:val="00227E4C"/>
    <w:rsid w:val="002333AC"/>
    <w:rsid w:val="002520B1"/>
    <w:rsid w:val="00255902"/>
    <w:rsid w:val="002561FD"/>
    <w:rsid w:val="00264E50"/>
    <w:rsid w:val="00266F2D"/>
    <w:rsid w:val="00267A4E"/>
    <w:rsid w:val="0027346A"/>
    <w:rsid w:val="00276803"/>
    <w:rsid w:val="00280836"/>
    <w:rsid w:val="002823CF"/>
    <w:rsid w:val="0028374A"/>
    <w:rsid w:val="00290C20"/>
    <w:rsid w:val="002B7A6D"/>
    <w:rsid w:val="002D4E1B"/>
    <w:rsid w:val="002E4528"/>
    <w:rsid w:val="002F4CC2"/>
    <w:rsid w:val="00307F83"/>
    <w:rsid w:val="00320538"/>
    <w:rsid w:val="003433BD"/>
    <w:rsid w:val="00351588"/>
    <w:rsid w:val="003533D2"/>
    <w:rsid w:val="00362B9A"/>
    <w:rsid w:val="00365032"/>
    <w:rsid w:val="003654E5"/>
    <w:rsid w:val="00393121"/>
    <w:rsid w:val="003A070E"/>
    <w:rsid w:val="003B28AF"/>
    <w:rsid w:val="003E1DCC"/>
    <w:rsid w:val="003E557C"/>
    <w:rsid w:val="003F13C6"/>
    <w:rsid w:val="003F61CA"/>
    <w:rsid w:val="00436C5F"/>
    <w:rsid w:val="00447A88"/>
    <w:rsid w:val="004534D9"/>
    <w:rsid w:val="0046136F"/>
    <w:rsid w:val="004742D4"/>
    <w:rsid w:val="00482365"/>
    <w:rsid w:val="004848CB"/>
    <w:rsid w:val="00490059"/>
    <w:rsid w:val="00497141"/>
    <w:rsid w:val="004A0B9C"/>
    <w:rsid w:val="004B794A"/>
    <w:rsid w:val="00515031"/>
    <w:rsid w:val="00521DD5"/>
    <w:rsid w:val="00553CC8"/>
    <w:rsid w:val="005552FC"/>
    <w:rsid w:val="00567494"/>
    <w:rsid w:val="0058045C"/>
    <w:rsid w:val="005807C9"/>
    <w:rsid w:val="00596A04"/>
    <w:rsid w:val="00597541"/>
    <w:rsid w:val="005A79FC"/>
    <w:rsid w:val="005B1381"/>
    <w:rsid w:val="005C1A94"/>
    <w:rsid w:val="005D2B30"/>
    <w:rsid w:val="005D4A60"/>
    <w:rsid w:val="005E3D1C"/>
    <w:rsid w:val="005F3080"/>
    <w:rsid w:val="00611B33"/>
    <w:rsid w:val="00615375"/>
    <w:rsid w:val="006246AD"/>
    <w:rsid w:val="0062557C"/>
    <w:rsid w:val="006356F9"/>
    <w:rsid w:val="006546E8"/>
    <w:rsid w:val="00675713"/>
    <w:rsid w:val="00683475"/>
    <w:rsid w:val="00684AF5"/>
    <w:rsid w:val="00694EE0"/>
    <w:rsid w:val="00696020"/>
    <w:rsid w:val="006A3245"/>
    <w:rsid w:val="006A5EEA"/>
    <w:rsid w:val="006B0357"/>
    <w:rsid w:val="006B0CAF"/>
    <w:rsid w:val="006B1DD6"/>
    <w:rsid w:val="006C2C3F"/>
    <w:rsid w:val="006D0FD8"/>
    <w:rsid w:val="006E478F"/>
    <w:rsid w:val="006F1A9D"/>
    <w:rsid w:val="006F35DB"/>
    <w:rsid w:val="006F54E8"/>
    <w:rsid w:val="006F7B04"/>
    <w:rsid w:val="0072563C"/>
    <w:rsid w:val="00726528"/>
    <w:rsid w:val="0073183E"/>
    <w:rsid w:val="007339FD"/>
    <w:rsid w:val="00734273"/>
    <w:rsid w:val="00746B6B"/>
    <w:rsid w:val="00757404"/>
    <w:rsid w:val="007642E9"/>
    <w:rsid w:val="00767901"/>
    <w:rsid w:val="00767D1E"/>
    <w:rsid w:val="007A6BEF"/>
    <w:rsid w:val="007B6A13"/>
    <w:rsid w:val="007C6DC1"/>
    <w:rsid w:val="007C7B32"/>
    <w:rsid w:val="007D0A9B"/>
    <w:rsid w:val="007E40B4"/>
    <w:rsid w:val="007E5D7E"/>
    <w:rsid w:val="00817B8E"/>
    <w:rsid w:val="00824F9C"/>
    <w:rsid w:val="00830DE3"/>
    <w:rsid w:val="008345BB"/>
    <w:rsid w:val="008505AA"/>
    <w:rsid w:val="00850E88"/>
    <w:rsid w:val="00861807"/>
    <w:rsid w:val="00862A5A"/>
    <w:rsid w:val="00864035"/>
    <w:rsid w:val="008A6859"/>
    <w:rsid w:val="008B3D78"/>
    <w:rsid w:val="008B603C"/>
    <w:rsid w:val="008C4227"/>
    <w:rsid w:val="008C74B8"/>
    <w:rsid w:val="008E06BA"/>
    <w:rsid w:val="008E0F89"/>
    <w:rsid w:val="008E413E"/>
    <w:rsid w:val="008F1DF6"/>
    <w:rsid w:val="009043D0"/>
    <w:rsid w:val="009153C7"/>
    <w:rsid w:val="009200DB"/>
    <w:rsid w:val="009250D2"/>
    <w:rsid w:val="00930D72"/>
    <w:rsid w:val="00953CE9"/>
    <w:rsid w:val="0096644F"/>
    <w:rsid w:val="009678CE"/>
    <w:rsid w:val="00980111"/>
    <w:rsid w:val="009808E8"/>
    <w:rsid w:val="00981625"/>
    <w:rsid w:val="009A4A9B"/>
    <w:rsid w:val="009C0CF9"/>
    <w:rsid w:val="009C6668"/>
    <w:rsid w:val="009C6B48"/>
    <w:rsid w:val="009D37A1"/>
    <w:rsid w:val="009E357B"/>
    <w:rsid w:val="009F5F2D"/>
    <w:rsid w:val="00A047E7"/>
    <w:rsid w:val="00A06FC2"/>
    <w:rsid w:val="00A13566"/>
    <w:rsid w:val="00A25150"/>
    <w:rsid w:val="00A34ECC"/>
    <w:rsid w:val="00A4033E"/>
    <w:rsid w:val="00A442E0"/>
    <w:rsid w:val="00A50CFF"/>
    <w:rsid w:val="00A5287B"/>
    <w:rsid w:val="00A554F8"/>
    <w:rsid w:val="00A83139"/>
    <w:rsid w:val="00A9309E"/>
    <w:rsid w:val="00A9750E"/>
    <w:rsid w:val="00AA1F25"/>
    <w:rsid w:val="00AA3EA5"/>
    <w:rsid w:val="00AB1E0D"/>
    <w:rsid w:val="00AB2487"/>
    <w:rsid w:val="00AB7A3A"/>
    <w:rsid w:val="00AD139D"/>
    <w:rsid w:val="00AD71DD"/>
    <w:rsid w:val="00AE307B"/>
    <w:rsid w:val="00B10BB1"/>
    <w:rsid w:val="00B168F0"/>
    <w:rsid w:val="00B265DB"/>
    <w:rsid w:val="00B3083F"/>
    <w:rsid w:val="00B3170B"/>
    <w:rsid w:val="00B47D5E"/>
    <w:rsid w:val="00B76958"/>
    <w:rsid w:val="00B83109"/>
    <w:rsid w:val="00B839A0"/>
    <w:rsid w:val="00B967D4"/>
    <w:rsid w:val="00BA07CE"/>
    <w:rsid w:val="00BA4067"/>
    <w:rsid w:val="00BA43C9"/>
    <w:rsid w:val="00BC4CCA"/>
    <w:rsid w:val="00BE4B33"/>
    <w:rsid w:val="00BF7F65"/>
    <w:rsid w:val="00C0041A"/>
    <w:rsid w:val="00C05CD3"/>
    <w:rsid w:val="00C108B2"/>
    <w:rsid w:val="00C2004C"/>
    <w:rsid w:val="00C22502"/>
    <w:rsid w:val="00C4181E"/>
    <w:rsid w:val="00C41B5C"/>
    <w:rsid w:val="00C44748"/>
    <w:rsid w:val="00C642FA"/>
    <w:rsid w:val="00C84724"/>
    <w:rsid w:val="00C87DC4"/>
    <w:rsid w:val="00CA6A5C"/>
    <w:rsid w:val="00CB02B8"/>
    <w:rsid w:val="00CB531A"/>
    <w:rsid w:val="00CB5616"/>
    <w:rsid w:val="00CC0DAC"/>
    <w:rsid w:val="00CD2671"/>
    <w:rsid w:val="00CE68AA"/>
    <w:rsid w:val="00D027B6"/>
    <w:rsid w:val="00D0454B"/>
    <w:rsid w:val="00D13758"/>
    <w:rsid w:val="00D44502"/>
    <w:rsid w:val="00D522C1"/>
    <w:rsid w:val="00D55A4A"/>
    <w:rsid w:val="00D63148"/>
    <w:rsid w:val="00D63E06"/>
    <w:rsid w:val="00D6420A"/>
    <w:rsid w:val="00D8167D"/>
    <w:rsid w:val="00D9373B"/>
    <w:rsid w:val="00D96CFC"/>
    <w:rsid w:val="00DA056C"/>
    <w:rsid w:val="00DA65A8"/>
    <w:rsid w:val="00DC30EF"/>
    <w:rsid w:val="00DC3384"/>
    <w:rsid w:val="00DD18D3"/>
    <w:rsid w:val="00E06334"/>
    <w:rsid w:val="00E137E1"/>
    <w:rsid w:val="00E1731F"/>
    <w:rsid w:val="00E26EA6"/>
    <w:rsid w:val="00E548D8"/>
    <w:rsid w:val="00E726EF"/>
    <w:rsid w:val="00E7713D"/>
    <w:rsid w:val="00E81EF1"/>
    <w:rsid w:val="00EC3653"/>
    <w:rsid w:val="00EF7EA4"/>
    <w:rsid w:val="00F0396E"/>
    <w:rsid w:val="00F075E0"/>
    <w:rsid w:val="00F33A65"/>
    <w:rsid w:val="00F343EB"/>
    <w:rsid w:val="00F36883"/>
    <w:rsid w:val="00F37BF6"/>
    <w:rsid w:val="00F46AE3"/>
    <w:rsid w:val="00F501E7"/>
    <w:rsid w:val="00F62D58"/>
    <w:rsid w:val="00F65F15"/>
    <w:rsid w:val="00F70BB7"/>
    <w:rsid w:val="00F8004C"/>
    <w:rsid w:val="00F96416"/>
    <w:rsid w:val="00FD587E"/>
    <w:rsid w:val="00FE1D59"/>
    <w:rsid w:val="00FE5B2D"/>
    <w:rsid w:val="00FF2299"/>
    <w:rsid w:val="00FF2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F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2"/>
    <w:pPr>
      <w:ind w:left="720"/>
      <w:contextualSpacing/>
    </w:pPr>
    <w:rPr>
      <w:rFonts w:ascii="Calibri" w:eastAsia="Calibri" w:hAnsi="Calibri" w:cs="Times New Roman"/>
    </w:rPr>
  </w:style>
  <w:style w:type="table" w:styleId="TableGrid">
    <w:name w:val="Table Grid"/>
    <w:basedOn w:val="TableNormal"/>
    <w:rsid w:val="00C05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inition">
    <w:name w:val="definition"/>
    <w:basedOn w:val="DefaultParagraphFont"/>
    <w:rsid w:val="0072563C"/>
  </w:style>
  <w:style w:type="paragraph" w:styleId="NoSpacing">
    <w:name w:val="No Spacing"/>
    <w:uiPriority w:val="1"/>
    <w:qFormat/>
    <w:rsid w:val="00D6420A"/>
    <w:pPr>
      <w:spacing w:after="0" w:line="240" w:lineRule="auto"/>
    </w:pPr>
  </w:style>
  <w:style w:type="paragraph" w:styleId="Header">
    <w:name w:val="header"/>
    <w:basedOn w:val="Normal"/>
    <w:link w:val="HeaderChar"/>
    <w:uiPriority w:val="99"/>
    <w:unhideWhenUsed/>
    <w:rsid w:val="00D64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0A"/>
  </w:style>
  <w:style w:type="paragraph" w:styleId="Footer">
    <w:name w:val="footer"/>
    <w:basedOn w:val="Normal"/>
    <w:link w:val="FooterChar"/>
    <w:uiPriority w:val="99"/>
    <w:unhideWhenUsed/>
    <w:rsid w:val="00D64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0A"/>
  </w:style>
  <w:style w:type="paragraph" w:customStyle="1" w:styleId="Default">
    <w:name w:val="Default"/>
    <w:rsid w:val="00E81EF1"/>
    <w:pPr>
      <w:autoSpaceDE w:val="0"/>
      <w:autoSpaceDN w:val="0"/>
      <w:adjustRightInd w:val="0"/>
      <w:spacing w:after="0" w:line="240" w:lineRule="auto"/>
    </w:pPr>
    <w:rPr>
      <w:rFonts w:ascii="EYInterstate" w:hAnsi="EYInterstate" w:cs="EYInterstate"/>
      <w:color w:val="000000"/>
      <w:sz w:val="24"/>
      <w:szCs w:val="24"/>
    </w:rPr>
  </w:style>
  <w:style w:type="character" w:styleId="Hyperlink">
    <w:name w:val="Hyperlink"/>
    <w:basedOn w:val="DefaultParagraphFont"/>
    <w:uiPriority w:val="99"/>
    <w:unhideWhenUsed/>
    <w:rsid w:val="0073183E"/>
    <w:rPr>
      <w:color w:val="0000FF" w:themeColor="hyperlink"/>
      <w:u w:val="single"/>
    </w:rPr>
  </w:style>
  <w:style w:type="paragraph" w:styleId="NormalWeb">
    <w:name w:val="Normal (Web)"/>
    <w:basedOn w:val="Normal"/>
    <w:uiPriority w:val="99"/>
    <w:semiHidden/>
    <w:unhideWhenUsed/>
    <w:rsid w:val="0022506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A6BEF"/>
    <w:rPr>
      <w:sz w:val="16"/>
      <w:szCs w:val="16"/>
    </w:rPr>
  </w:style>
  <w:style w:type="paragraph" w:styleId="CommentText">
    <w:name w:val="annotation text"/>
    <w:basedOn w:val="Normal"/>
    <w:link w:val="CommentTextChar"/>
    <w:uiPriority w:val="99"/>
    <w:semiHidden/>
    <w:unhideWhenUsed/>
    <w:rsid w:val="007A6BEF"/>
    <w:pPr>
      <w:spacing w:line="240" w:lineRule="auto"/>
    </w:pPr>
    <w:rPr>
      <w:sz w:val="20"/>
      <w:szCs w:val="20"/>
    </w:rPr>
  </w:style>
  <w:style w:type="character" w:customStyle="1" w:styleId="CommentTextChar">
    <w:name w:val="Comment Text Char"/>
    <w:basedOn w:val="DefaultParagraphFont"/>
    <w:link w:val="CommentText"/>
    <w:uiPriority w:val="99"/>
    <w:semiHidden/>
    <w:rsid w:val="007A6BEF"/>
    <w:rPr>
      <w:sz w:val="20"/>
      <w:szCs w:val="20"/>
    </w:rPr>
  </w:style>
  <w:style w:type="paragraph" w:styleId="CommentSubject">
    <w:name w:val="annotation subject"/>
    <w:basedOn w:val="CommentText"/>
    <w:next w:val="CommentText"/>
    <w:link w:val="CommentSubjectChar"/>
    <w:uiPriority w:val="99"/>
    <w:semiHidden/>
    <w:unhideWhenUsed/>
    <w:rsid w:val="007A6BEF"/>
    <w:rPr>
      <w:b/>
      <w:bCs/>
    </w:rPr>
  </w:style>
  <w:style w:type="character" w:customStyle="1" w:styleId="CommentSubjectChar">
    <w:name w:val="Comment Subject Char"/>
    <w:basedOn w:val="CommentTextChar"/>
    <w:link w:val="CommentSubject"/>
    <w:uiPriority w:val="99"/>
    <w:semiHidden/>
    <w:rsid w:val="007A6BEF"/>
    <w:rPr>
      <w:b/>
      <w:bCs/>
      <w:sz w:val="20"/>
      <w:szCs w:val="20"/>
    </w:rPr>
  </w:style>
  <w:style w:type="paragraph" w:styleId="BalloonText">
    <w:name w:val="Balloon Text"/>
    <w:basedOn w:val="Normal"/>
    <w:link w:val="BalloonTextChar"/>
    <w:uiPriority w:val="99"/>
    <w:semiHidden/>
    <w:unhideWhenUsed/>
    <w:rsid w:val="007A6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BE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2"/>
    <w:pPr>
      <w:ind w:left="720"/>
      <w:contextualSpacing/>
    </w:pPr>
    <w:rPr>
      <w:rFonts w:ascii="Calibri" w:eastAsia="Calibri" w:hAnsi="Calibri" w:cs="Times New Roman"/>
    </w:rPr>
  </w:style>
  <w:style w:type="table" w:styleId="TableGrid">
    <w:name w:val="Table Grid"/>
    <w:basedOn w:val="TableNormal"/>
    <w:rsid w:val="00C05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inition">
    <w:name w:val="definition"/>
    <w:basedOn w:val="DefaultParagraphFont"/>
    <w:rsid w:val="0072563C"/>
  </w:style>
  <w:style w:type="paragraph" w:styleId="NoSpacing">
    <w:name w:val="No Spacing"/>
    <w:uiPriority w:val="1"/>
    <w:qFormat/>
    <w:rsid w:val="00D6420A"/>
    <w:pPr>
      <w:spacing w:after="0" w:line="240" w:lineRule="auto"/>
    </w:pPr>
  </w:style>
  <w:style w:type="paragraph" w:styleId="Header">
    <w:name w:val="header"/>
    <w:basedOn w:val="Normal"/>
    <w:link w:val="HeaderChar"/>
    <w:uiPriority w:val="99"/>
    <w:unhideWhenUsed/>
    <w:rsid w:val="00D64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0A"/>
  </w:style>
  <w:style w:type="paragraph" w:styleId="Footer">
    <w:name w:val="footer"/>
    <w:basedOn w:val="Normal"/>
    <w:link w:val="FooterChar"/>
    <w:uiPriority w:val="99"/>
    <w:unhideWhenUsed/>
    <w:rsid w:val="00D64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0A"/>
  </w:style>
  <w:style w:type="paragraph" w:customStyle="1" w:styleId="Default">
    <w:name w:val="Default"/>
    <w:rsid w:val="00E81EF1"/>
    <w:pPr>
      <w:autoSpaceDE w:val="0"/>
      <w:autoSpaceDN w:val="0"/>
      <w:adjustRightInd w:val="0"/>
      <w:spacing w:after="0" w:line="240" w:lineRule="auto"/>
    </w:pPr>
    <w:rPr>
      <w:rFonts w:ascii="EYInterstate" w:hAnsi="EYInterstate" w:cs="EYInterstate"/>
      <w:color w:val="000000"/>
      <w:sz w:val="24"/>
      <w:szCs w:val="24"/>
    </w:rPr>
  </w:style>
  <w:style w:type="character" w:styleId="Hyperlink">
    <w:name w:val="Hyperlink"/>
    <w:basedOn w:val="DefaultParagraphFont"/>
    <w:uiPriority w:val="99"/>
    <w:unhideWhenUsed/>
    <w:rsid w:val="0073183E"/>
    <w:rPr>
      <w:color w:val="0000FF" w:themeColor="hyperlink"/>
      <w:u w:val="single"/>
    </w:rPr>
  </w:style>
  <w:style w:type="paragraph" w:styleId="NormalWeb">
    <w:name w:val="Normal (Web)"/>
    <w:basedOn w:val="Normal"/>
    <w:uiPriority w:val="99"/>
    <w:semiHidden/>
    <w:unhideWhenUsed/>
    <w:rsid w:val="0022506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A6BEF"/>
    <w:rPr>
      <w:sz w:val="16"/>
      <w:szCs w:val="16"/>
    </w:rPr>
  </w:style>
  <w:style w:type="paragraph" w:styleId="CommentText">
    <w:name w:val="annotation text"/>
    <w:basedOn w:val="Normal"/>
    <w:link w:val="CommentTextChar"/>
    <w:uiPriority w:val="99"/>
    <w:semiHidden/>
    <w:unhideWhenUsed/>
    <w:rsid w:val="007A6BEF"/>
    <w:pPr>
      <w:spacing w:line="240" w:lineRule="auto"/>
    </w:pPr>
    <w:rPr>
      <w:sz w:val="20"/>
      <w:szCs w:val="20"/>
    </w:rPr>
  </w:style>
  <w:style w:type="character" w:customStyle="1" w:styleId="CommentTextChar">
    <w:name w:val="Comment Text Char"/>
    <w:basedOn w:val="DefaultParagraphFont"/>
    <w:link w:val="CommentText"/>
    <w:uiPriority w:val="99"/>
    <w:semiHidden/>
    <w:rsid w:val="007A6BEF"/>
    <w:rPr>
      <w:sz w:val="20"/>
      <w:szCs w:val="20"/>
    </w:rPr>
  </w:style>
  <w:style w:type="paragraph" w:styleId="CommentSubject">
    <w:name w:val="annotation subject"/>
    <w:basedOn w:val="CommentText"/>
    <w:next w:val="CommentText"/>
    <w:link w:val="CommentSubjectChar"/>
    <w:uiPriority w:val="99"/>
    <w:semiHidden/>
    <w:unhideWhenUsed/>
    <w:rsid w:val="007A6BEF"/>
    <w:rPr>
      <w:b/>
      <w:bCs/>
    </w:rPr>
  </w:style>
  <w:style w:type="character" w:customStyle="1" w:styleId="CommentSubjectChar">
    <w:name w:val="Comment Subject Char"/>
    <w:basedOn w:val="CommentTextChar"/>
    <w:link w:val="CommentSubject"/>
    <w:uiPriority w:val="99"/>
    <w:semiHidden/>
    <w:rsid w:val="007A6BEF"/>
    <w:rPr>
      <w:b/>
      <w:bCs/>
      <w:sz w:val="20"/>
      <w:szCs w:val="20"/>
    </w:rPr>
  </w:style>
  <w:style w:type="paragraph" w:styleId="BalloonText">
    <w:name w:val="Balloon Text"/>
    <w:basedOn w:val="Normal"/>
    <w:link w:val="BalloonTextChar"/>
    <w:uiPriority w:val="99"/>
    <w:semiHidden/>
    <w:unhideWhenUsed/>
    <w:rsid w:val="007A6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B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5457">
      <w:bodyDiv w:val="1"/>
      <w:marLeft w:val="0"/>
      <w:marRight w:val="0"/>
      <w:marTop w:val="0"/>
      <w:marBottom w:val="0"/>
      <w:divBdr>
        <w:top w:val="none" w:sz="0" w:space="0" w:color="auto"/>
        <w:left w:val="none" w:sz="0" w:space="0" w:color="auto"/>
        <w:bottom w:val="none" w:sz="0" w:space="0" w:color="auto"/>
        <w:right w:val="none" w:sz="0" w:space="0" w:color="auto"/>
      </w:divBdr>
    </w:div>
    <w:div w:id="1664625232">
      <w:bodyDiv w:val="1"/>
      <w:marLeft w:val="0"/>
      <w:marRight w:val="0"/>
      <w:marTop w:val="0"/>
      <w:marBottom w:val="0"/>
      <w:divBdr>
        <w:top w:val="none" w:sz="0" w:space="0" w:color="auto"/>
        <w:left w:val="none" w:sz="0" w:space="0" w:color="auto"/>
        <w:bottom w:val="none" w:sz="0" w:space="0" w:color="auto"/>
        <w:right w:val="none" w:sz="0" w:space="0" w:color="auto"/>
      </w:divBdr>
      <w:divsChild>
        <w:div w:id="755440985">
          <w:marLeft w:val="-1252"/>
          <w:marRight w:val="0"/>
          <w:marTop w:val="0"/>
          <w:marBottom w:val="0"/>
          <w:divBdr>
            <w:top w:val="none" w:sz="0" w:space="0" w:color="auto"/>
            <w:left w:val="none" w:sz="0" w:space="0" w:color="auto"/>
            <w:bottom w:val="none" w:sz="0" w:space="0" w:color="auto"/>
            <w:right w:val="none" w:sz="0" w:space="0" w:color="auto"/>
          </w:divBdr>
        </w:div>
      </w:divsChild>
    </w:div>
    <w:div w:id="1974017607">
      <w:bodyDiv w:val="1"/>
      <w:marLeft w:val="0"/>
      <w:marRight w:val="0"/>
      <w:marTop w:val="0"/>
      <w:marBottom w:val="0"/>
      <w:divBdr>
        <w:top w:val="none" w:sz="0" w:space="0" w:color="auto"/>
        <w:left w:val="none" w:sz="0" w:space="0" w:color="auto"/>
        <w:bottom w:val="none" w:sz="0" w:space="0" w:color="auto"/>
        <w:right w:val="none" w:sz="0" w:space="0" w:color="auto"/>
      </w:divBdr>
      <w:divsChild>
        <w:div w:id="87497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ounting@uatc.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Golden Gate University</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franklinms22</dc:creator>
  <cp:lastModifiedBy>Lisa Slater</cp:lastModifiedBy>
  <cp:revision>4</cp:revision>
  <cp:lastPrinted>2012-09-04T16:58:00Z</cp:lastPrinted>
  <dcterms:created xsi:type="dcterms:W3CDTF">2017-06-13T09:24:00Z</dcterms:created>
  <dcterms:modified xsi:type="dcterms:W3CDTF">2017-06-13T09:45:00Z</dcterms:modified>
</cp:coreProperties>
</file>