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1F4E79"/>
          <w:sz w:val="48"/>
          <w:szCs w:val="48"/>
        </w:rPr>
        <w:t xml:space="preserve">PHASE 3 IMPLEMENTATION PLAN</w:t>
      </w:r>
    </w:p>
    <w:p>
      <w:pPr>
        <w:spacing w:after="200"/>
        <w:jc w:val="center"/>
      </w:pPr>
      <w:r>
        <w:rPr>
          <w:rFonts w:ascii="Arial" w:cs="Arial" w:eastAsia="Arial" w:hAnsi="Arial"/>
          <w:color w:val="2E75B6"/>
          <w:sz w:val="28"/>
          <w:szCs w:val="28"/>
        </w:rPr>
        <w:t xml:space="preserve">Environment Profiling &amp; Coverage-Weighted Graph Engine</w:t>
      </w:r>
    </w:p>
    <w:p>
      <w:pPr>
        <w:spacing w:after="200"/>
        <w:jc w:val="center"/>
      </w:pPr>
      <w:r>
        <w:rPr>
          <w:rFonts w:ascii="Arial" w:cs="Arial" w:eastAsia="Arial" w:hAnsi="Arial"/>
          <w:color w:val="666666"/>
          <w:sz w:val="22"/>
          <w:szCs w:val="22"/>
        </w:rPr>
        <w:t xml:space="preserve">ATT&amp;CK Graph Expenditure Optimizer</w:t>
      </w:r>
    </w:p>
    <w:p>
      <w:pPr>
        <w:spacing w:after="600"/>
        <w:jc w:val="center"/>
      </w:pPr>
      <w:r>
        <w:rPr>
          <w:rFonts w:ascii="Arial" w:cs="Arial" w:eastAsia="Arial" w:hAnsi="Arial"/>
          <w:i/>
          <w:iCs/>
          <w:color w:val="999999"/>
          <w:sz w:val="20"/>
          <w:szCs w:val="20"/>
        </w:rPr>
        <w:t xml:space="preserve">Implementation specification for Claude Code</w:t>
      </w:r>
    </w:p>
    <w:p>
      <w:r>
        <w:br w:type="page"/>
      </w:r>
    </w:p>
    <w:p>
      <w:pPr>
        <w:pStyle w:val="Heading1"/>
        <w:spacing w:before="360" w:after="200"/>
      </w:pPr>
      <w:r>
        <w:rPr>
          <w:rFonts w:ascii="Arial" w:cs="Arial" w:eastAsia="Arial" w:hAnsi="Arial"/>
          <w:b/>
          <w:bCs/>
          <w:color w:val="1F4E79"/>
          <w:sz w:val="32"/>
          <w:szCs w:val="32"/>
        </w:rPr>
        <w:t xml:space="preserve">1. Architectural Overview</w:t>
      </w:r>
    </w:p>
    <w:p>
      <w:pPr>
        <w:spacing w:after="120"/>
      </w:pPr>
      <w:r>
        <w:rPr>
          <w:rFonts w:ascii="Arial" w:cs="Arial" w:eastAsia="Arial" w:hAnsi="Arial"/>
          <w:sz w:val="20"/>
          <w:szCs w:val="20"/>
        </w:rPr>
        <w:t xml:space="preserve">This document specifies the environment profiling feature that transforms the ATT&amp;CK Graph Optimizer from a generic visualization tool into a personalized security posture analyzer. The core idea: a user describes their environment (infrastructure, security tools, compliance frameworks), and the app automatically adjusts technique-level exposure weights to reflect their actual risk surface.</w:t>
      </w:r>
    </w:p>
    <w:p>
      <w:pPr>
        <w:pStyle w:val="Heading2"/>
        <w:spacing w:before="280" w:after="160"/>
      </w:pPr>
      <w:r>
        <w:rPr>
          <w:rFonts w:ascii="Arial" w:cs="Arial" w:eastAsia="Arial" w:hAnsi="Arial"/>
          <w:b/>
          <w:bCs/>
          <w:color w:val="2E75B6"/>
          <w:sz w:val="26"/>
          <w:szCs w:val="26"/>
        </w:rPr>
        <w:t xml:space="preserve">1.1 System Architecture</w:t>
      </w:r>
    </w:p>
    <w:p>
      <w:pPr>
        <w:spacing w:after="120"/>
      </w:pPr>
      <w:r>
        <w:rPr>
          <w:rFonts w:ascii="Arial" w:cs="Arial" w:eastAsia="Arial" w:hAnsi="Arial"/>
          <w:sz w:val="20"/>
          <w:szCs w:val="20"/>
        </w:rPr>
        <w:t xml:space="preserve">The environment profiling system has four components that layer on top of the existing graph engine:</w:t>
      </w:r>
    </w:p>
    <w:p>
      <w:pPr>
        <w:pStyle w:val="ListParagraph"/>
        <w:numPr>
          <w:ilvl w:val="0"/>
          <w:numId w:val="2"/>
        </w:numPr>
        <w:spacing w:after="60"/>
      </w:pPr>
      <w:r>
        <w:rPr>
          <w:rFonts w:ascii="Arial" w:cs="Arial" w:eastAsia="Arial" w:hAnsi="Arial"/>
          <w:b/>
          <w:bCs/>
          <w:sz w:val="20"/>
          <w:szCs w:val="20"/>
        </w:rPr>
        <w:t xml:space="preserve">Profile Wizard (UI) — </w:t>
      </w:r>
      <w:r>
        <w:rPr>
          <w:rFonts w:ascii="Arial" w:cs="Arial" w:eastAsia="Arial" w:hAnsi="Arial"/>
          <w:sz w:val="20"/>
          <w:szCs w:val="20"/>
        </w:rPr>
        <w:t xml:space="preserve">Multi-step form where users describe their environment. Collects infrastructure stack, security tooling, and compliance requirements.</w:t>
      </w:r>
    </w:p>
    <w:p>
      <w:pPr>
        <w:pStyle w:val="ListParagraph"/>
        <w:numPr>
          <w:ilvl w:val="0"/>
          <w:numId w:val="2"/>
        </w:numPr>
        <w:spacing w:after="60"/>
      </w:pPr>
      <w:r>
        <w:rPr>
          <w:rFonts w:ascii="Arial" w:cs="Arial" w:eastAsia="Arial" w:hAnsi="Arial"/>
          <w:b/>
          <w:bCs/>
          <w:sz w:val="20"/>
          <w:szCs w:val="20"/>
        </w:rPr>
        <w:t xml:space="preserve">Coverage Knowledge Base (Data) — </w:t>
      </w:r>
      <w:r>
        <w:rPr>
          <w:rFonts w:ascii="Arial" w:cs="Arial" w:eastAsia="Arial" w:hAnsi="Arial"/>
          <w:sz w:val="20"/>
          <w:szCs w:val="20"/>
        </w:rPr>
        <w:t xml:space="preserve">Static JSON dataset mapping security tools to ATT&amp;CK technique coverage scores, built from MITRE Evaluations data, vendor documentation, and community mappings.</w:t>
      </w:r>
    </w:p>
    <w:p>
      <w:pPr>
        <w:pStyle w:val="ListParagraph"/>
        <w:numPr>
          <w:ilvl w:val="0"/>
          <w:numId w:val="2"/>
        </w:numPr>
        <w:spacing w:after="60"/>
      </w:pPr>
      <w:r>
        <w:rPr>
          <w:rFonts w:ascii="Arial" w:cs="Arial" w:eastAsia="Arial" w:hAnsi="Arial"/>
          <w:b/>
          <w:bCs/>
          <w:sz w:val="20"/>
          <w:szCs w:val="20"/>
        </w:rPr>
        <w:t xml:space="preserve">Exposure Weighting Engine (Logic) — </w:t>
      </w:r>
      <w:r>
        <w:rPr>
          <w:rFonts w:ascii="Arial" w:cs="Arial" w:eastAsia="Arial" w:hAnsi="Arial"/>
          <w:sz w:val="20"/>
          <w:szCs w:val="20"/>
        </w:rPr>
        <w:t xml:space="preserve">Algorithm that takes the user profile + coverage KB and computes per-technique exposure scores that feed into the existing graph centrality calculations.</w:t>
      </w:r>
    </w:p>
    <w:p>
      <w:pPr>
        <w:pStyle w:val="ListParagraph"/>
        <w:numPr>
          <w:ilvl w:val="0"/>
          <w:numId w:val="2"/>
        </w:numPr>
        <w:spacing w:after="60"/>
      </w:pPr>
      <w:r>
        <w:rPr>
          <w:rFonts w:ascii="Arial" w:cs="Arial" w:eastAsia="Arial" w:hAnsi="Arial"/>
          <w:b/>
          <w:bCs/>
          <w:sz w:val="20"/>
          <w:szCs w:val="20"/>
        </w:rPr>
        <w:t xml:space="preserve">Navigator Layer Export (Output) — </w:t>
      </w:r>
      <w:r>
        <w:rPr>
          <w:rFonts w:ascii="Arial" w:cs="Arial" w:eastAsia="Arial" w:hAnsi="Arial"/>
          <w:sz w:val="20"/>
          <w:szCs w:val="20"/>
        </w:rPr>
        <w:t xml:space="preserve">Generates ATT&amp;CK Navigator-compatible JSON layer files (v4.5 format) so users can import their coverage map into the standard MITRE tooling.</w:t>
      </w:r>
    </w:p>
    <w:p>
      <w:pPr>
        <w:pStyle w:val="Heading2"/>
        <w:spacing w:before="280" w:after="160"/>
      </w:pPr>
      <w:r>
        <w:rPr>
          <w:rFonts w:ascii="Arial" w:cs="Arial" w:eastAsia="Arial" w:hAnsi="Arial"/>
          <w:b/>
          <w:bCs/>
          <w:color w:val="2E75B6"/>
          <w:sz w:val="26"/>
          <w:szCs w:val="26"/>
        </w:rPr>
        <w:t xml:space="preserve">1.2 Data Flow</w:t>
      </w:r>
    </w:p>
    <w:p>
      <w:pPr>
        <w:spacing w:after="120"/>
      </w:pPr>
      <w:r>
        <w:rPr>
          <w:rFonts w:ascii="Arial" w:cs="Arial" w:eastAsia="Arial" w:hAnsi="Arial"/>
          <w:sz w:val="20"/>
          <w:szCs w:val="20"/>
        </w:rPr>
        <w:t xml:space="preserve">User fills Profile Wizard → Profile stored as JSON object in app state → Exposure Engine queries Coverage KB for each tool in profile → Per-technique scores computed (0.0 = fully covered to 1.0 = fully exposed) → Scores injected into existing graph model as node weights → Centrality/chokepoint analysis runs on weighted graph → Results displayed + exportable as Navigator layer JSON + PDF report.</w:t>
      </w:r>
    </w:p>
    <w:p>
      <w:r>
        <w:br w:type="page"/>
      </w:r>
    </w:p>
    <w:p>
      <w:pPr>
        <w:pStyle w:val="Heading1"/>
        <w:spacing w:before="360" w:after="200"/>
      </w:pPr>
      <w:r>
        <w:rPr>
          <w:rFonts w:ascii="Arial" w:cs="Arial" w:eastAsia="Arial" w:hAnsi="Arial"/>
          <w:b/>
          <w:bCs/>
          <w:color w:val="1F4E79"/>
          <w:sz w:val="32"/>
          <w:szCs w:val="32"/>
        </w:rPr>
        <w:t xml:space="preserve">2. Coverage Knowledge Base</w:t>
      </w:r>
    </w:p>
    <w:p>
      <w:pPr>
        <w:spacing w:after="120"/>
      </w:pPr>
      <w:r>
        <w:rPr>
          <w:rFonts w:ascii="Arial" w:cs="Arial" w:eastAsia="Arial" w:hAnsi="Arial"/>
          <w:sz w:val="20"/>
          <w:szCs w:val="20"/>
        </w:rPr>
        <w:t xml:space="preserve">This is the most critical and most labor-intensive component. It maps security products to the ATT&amp;CK techniques they detect, prevent, or provide visibility into.</w:t>
      </w:r>
    </w:p>
    <w:p>
      <w:pPr>
        <w:pStyle w:val="Heading2"/>
        <w:spacing w:before="280" w:after="160"/>
      </w:pPr>
      <w:r>
        <w:rPr>
          <w:rFonts w:ascii="Arial" w:cs="Arial" w:eastAsia="Arial" w:hAnsi="Arial"/>
          <w:b/>
          <w:bCs/>
          <w:color w:val="2E75B6"/>
          <w:sz w:val="26"/>
          <w:szCs w:val="26"/>
        </w:rPr>
        <w:t xml:space="preserve">2.1 Data Sources (Priority Order)</w:t>
      </w:r>
    </w:p>
    <w:p>
      <w:pPr>
        <w:spacing w:before="200" w:after="120"/>
      </w:pPr>
      <w:r>
        <w:rPr>
          <w:rFonts w:ascii="Arial" w:cs="Arial" w:eastAsia="Arial" w:hAnsi="Arial"/>
          <w:b/>
          <w:bCs/>
          <w:color w:val="404040"/>
          <w:sz w:val="22"/>
          <w:szCs w:val="22"/>
        </w:rPr>
        <w:t xml:space="preserve">Source 1: MITRE ATT&amp;CK Evaluations (Highest Authority)</w:t>
      </w:r>
    </w:p>
    <w:p>
      <w:pPr>
        <w:spacing w:after="120"/>
      </w:pPr>
      <w:r>
        <w:rPr>
          <w:rFonts w:ascii="Arial" w:cs="Arial" w:eastAsia="Arial" w:hAnsi="Arial"/>
          <w:sz w:val="20"/>
          <w:szCs w:val="20"/>
        </w:rPr>
        <w:t xml:space="preserve">The MITRE Evaluations test real vendor products against real attack scenarios and publish per-technique detection results as JSON. This is the gold standard because it is independently tested, not vendor-reported.</w:t>
      </w:r>
    </w:p>
    <w:p>
      <w:pPr>
        <w:pStyle w:val="ListParagraph"/>
        <w:numPr>
          <w:ilvl w:val="0"/>
          <w:numId w:val="2"/>
        </w:numPr>
        <w:spacing w:after="60"/>
      </w:pPr>
      <w:r>
        <w:rPr>
          <w:rFonts w:ascii="Arial" w:cs="Arial" w:eastAsia="Arial" w:hAnsi="Arial"/>
          <w:b/>
          <w:bCs/>
          <w:sz w:val="20"/>
          <w:szCs w:val="20"/>
        </w:rPr>
        <w:t xml:space="preserve">Repository: </w:t>
      </w:r>
      <w:r>
        <w:rPr>
          <w:rFonts w:ascii="Arial" w:cs="Arial" w:eastAsia="Arial" w:hAnsi="Arial"/>
          <w:sz w:val="20"/>
          <w:szCs w:val="20"/>
        </w:rPr>
        <w:t xml:space="preserve">https://github.com/SecurityRiskAdvisors/mitreevalsdb — contains parsed evaluation data in a queryable SQLite format with per-vendor, per-technique detection results.</w:t>
      </w:r>
    </w:p>
    <w:p>
      <w:pPr>
        <w:pStyle w:val="ListParagraph"/>
        <w:numPr>
          <w:ilvl w:val="0"/>
          <w:numId w:val="2"/>
        </w:numPr>
        <w:spacing w:after="60"/>
      </w:pPr>
      <w:r>
        <w:rPr>
          <w:rFonts w:ascii="Arial" w:cs="Arial" w:eastAsia="Arial" w:hAnsi="Arial"/>
          <w:b/>
          <w:bCs/>
          <w:sz w:val="20"/>
          <w:szCs w:val="20"/>
        </w:rPr>
        <w:t xml:space="preserve">Direct source: </w:t>
      </w:r>
      <w:r>
        <w:rPr>
          <w:rFonts w:ascii="Arial" w:cs="Arial" w:eastAsia="Arial" w:hAnsi="Arial"/>
          <w:sz w:val="20"/>
          <w:szCs w:val="20"/>
        </w:rPr>
        <w:t xml:space="preserve">https://attackevals.mitre.org/ — raw JSON results for each evaluation round.</w:t>
      </w:r>
    </w:p>
    <w:p>
      <w:pPr>
        <w:pStyle w:val="ListParagraph"/>
        <w:numPr>
          <w:ilvl w:val="0"/>
          <w:numId w:val="2"/>
        </w:numPr>
        <w:spacing w:after="60"/>
      </w:pPr>
      <w:r>
        <w:rPr>
          <w:rFonts w:ascii="Arial" w:cs="Arial" w:eastAsia="Arial" w:hAnsi="Arial"/>
          <w:b/>
          <w:bCs/>
          <w:sz w:val="20"/>
          <w:szCs w:val="20"/>
        </w:rPr>
        <w:t xml:space="preserve">Coverage: </w:t>
      </w:r>
      <w:r>
        <w:rPr>
          <w:rFonts w:ascii="Arial" w:cs="Arial" w:eastAsia="Arial" w:hAnsi="Arial"/>
          <w:sz w:val="20"/>
          <w:szCs w:val="20"/>
        </w:rPr>
        <w:t xml:space="preserve">The 2025 evaluations (Enterprise Round 7) tested 11 vendors: Acronis, AhnLab, CrowdStrike, Cyberani, Cybereason, Cynet, ESET, Sophos, Trend Micro, WatchGuard, WithSecure. Detection types include Telemetry, General, Tactic, and Technique-level detections.</w:t>
      </w:r>
    </w:p>
    <w:p>
      <w:pPr>
        <w:pStyle w:val="ListParagraph"/>
        <w:numPr>
          <w:ilvl w:val="0"/>
          <w:numId w:val="2"/>
        </w:numPr>
        <w:spacing w:after="60"/>
      </w:pPr>
      <w:r>
        <w:rPr>
          <w:rFonts w:ascii="Arial" w:cs="Arial" w:eastAsia="Arial" w:hAnsi="Arial"/>
          <w:b/>
          <w:bCs/>
          <w:sz w:val="20"/>
          <w:szCs w:val="20"/>
        </w:rPr>
        <w:t xml:space="preserve">Limitation: </w:t>
      </w:r>
      <w:r>
        <w:rPr>
          <w:rFonts w:ascii="Arial" w:cs="Arial" w:eastAsia="Arial" w:hAnsi="Arial"/>
          <w:sz w:val="20"/>
          <w:szCs w:val="20"/>
        </w:rPr>
        <w:t xml:space="preserve">Major vendors (Microsoft Defender, Palo Alto, SentinelOne) withdrew from 2025 evaluations. For these, fall back to their 2023/2024 results or vendor-published Navigator layers.</w:t>
      </w:r>
    </w:p>
    <w:p>
      <w:pPr>
        <w:spacing w:before="200" w:after="120"/>
      </w:pPr>
      <w:r>
        <w:rPr>
          <w:rFonts w:ascii="Arial" w:cs="Arial" w:eastAsia="Arial" w:hAnsi="Arial"/>
          <w:b/>
          <w:bCs/>
          <w:color w:val="404040"/>
          <w:sz w:val="22"/>
          <w:szCs w:val="22"/>
        </w:rPr>
        <w:t xml:space="preserve">Source 2: Vendor-Published ATT&amp;CK Navigator Layers</w:t>
      </w:r>
    </w:p>
    <w:p>
      <w:pPr>
        <w:spacing w:after="120"/>
      </w:pPr>
      <w:r>
        <w:rPr>
          <w:rFonts w:ascii="Arial" w:cs="Arial" w:eastAsia="Arial" w:hAnsi="Arial"/>
          <w:sz w:val="20"/>
          <w:szCs w:val="20"/>
        </w:rPr>
        <w:t xml:space="preserve">Many security vendors publish Navigator layer JSON files showing their product's coverage. These are self-reported (so take with appropriate skepticism), but they are machine-readable and technique-specific.</w:t>
      </w:r>
    </w:p>
    <w:p>
      <w:pPr>
        <w:pStyle w:val="ListParagraph"/>
        <w:numPr>
          <w:ilvl w:val="0"/>
          <w:numId w:val="2"/>
        </w:numPr>
        <w:spacing w:after="60"/>
      </w:pPr>
      <w:r>
        <w:rPr>
          <w:rFonts w:ascii="Arial" w:cs="Arial" w:eastAsia="Arial" w:hAnsi="Arial"/>
          <w:b/>
          <w:bCs/>
          <w:sz w:val="20"/>
          <w:szCs w:val="20"/>
        </w:rPr>
        <w:t xml:space="preserve">Format: </w:t>
      </w:r>
      <w:r>
        <w:rPr>
          <w:rFonts w:ascii="Arial" w:cs="Arial" w:eastAsia="Arial" w:hAnsi="Arial"/>
          <w:sz w:val="20"/>
          <w:szCs w:val="20"/>
        </w:rPr>
        <w:t xml:space="preserve">ATT&amp;CK Navigator Layer v4.5 JSON — contains per-technique scores and annotations.</w:t>
      </w:r>
    </w:p>
    <w:p>
      <w:pPr>
        <w:pStyle w:val="ListParagraph"/>
        <w:numPr>
          <w:ilvl w:val="0"/>
          <w:numId w:val="2"/>
        </w:numPr>
        <w:spacing w:after="60"/>
      </w:pPr>
      <w:r>
        <w:rPr>
          <w:rFonts w:ascii="Arial" w:cs="Arial" w:eastAsia="Arial" w:hAnsi="Arial"/>
          <w:b/>
          <w:bCs/>
          <w:sz w:val="20"/>
          <w:szCs w:val="20"/>
        </w:rPr>
        <w:t xml:space="preserve">Examples: </w:t>
      </w:r>
      <w:r>
        <w:rPr>
          <w:rFonts w:ascii="Arial" w:cs="Arial" w:eastAsia="Arial" w:hAnsi="Arial"/>
          <w:sz w:val="20"/>
          <w:szCs w:val="20"/>
        </w:rPr>
        <w:t xml:space="preserve">CrowdStrike, Microsoft, Palo Alto, and others publish these on their blogs or GitHub. Some are community-generated (e.g., DeTT&amp;CT project mappings).</w:t>
      </w:r>
    </w:p>
    <w:p>
      <w:pPr>
        <w:spacing w:before="200" w:after="120"/>
      </w:pPr>
      <w:r>
        <w:rPr>
          <w:rFonts w:ascii="Arial" w:cs="Arial" w:eastAsia="Arial" w:hAnsi="Arial"/>
          <w:b/>
          <w:bCs/>
          <w:color w:val="404040"/>
          <w:sz w:val="22"/>
          <w:szCs w:val="22"/>
        </w:rPr>
        <w:t xml:space="preserve">Source 3: ATT&amp;CK Data Sources Mapping</w:t>
      </w:r>
    </w:p>
    <w:p>
      <w:pPr>
        <w:spacing w:after="120"/>
      </w:pPr>
      <w:r>
        <w:rPr>
          <w:rFonts w:ascii="Arial" w:cs="Arial" w:eastAsia="Arial" w:hAnsi="Arial"/>
          <w:sz w:val="20"/>
          <w:szCs w:val="20"/>
        </w:rPr>
        <w:t xml:space="preserve">MITRE ATT&amp;CK itself maps each technique to required data sources (e.g., T1059.001 PowerShell requires Process Creation, Command Execution, Script Execution data sources). If a user's SIEM ingests these data sources, they have visibility into the technique even without a specific vendor detection.</w:t>
      </w:r>
    </w:p>
    <w:p>
      <w:pPr>
        <w:pStyle w:val="ListParagraph"/>
        <w:numPr>
          <w:ilvl w:val="0"/>
          <w:numId w:val="2"/>
        </w:numPr>
        <w:spacing w:after="60"/>
      </w:pPr>
      <w:r>
        <w:rPr>
          <w:rFonts w:ascii="Arial" w:cs="Arial" w:eastAsia="Arial" w:hAnsi="Arial"/>
          <w:b/>
          <w:bCs/>
          <w:sz w:val="20"/>
          <w:szCs w:val="20"/>
        </w:rPr>
        <w:t xml:space="preserve">Repository: </w:t>
      </w:r>
      <w:r>
        <w:rPr>
          <w:rFonts w:ascii="Arial" w:cs="Arial" w:eastAsia="Arial" w:hAnsi="Arial"/>
          <w:sz w:val="20"/>
          <w:szCs w:val="20"/>
        </w:rPr>
        <w:t xml:space="preserve">https://github.com/mitre-attack/attack-stix-data — STIX 2.1 bundles contain x-mitre-data-source and x-mitre-data-component objects linked to techniques via relationships.</w:t>
      </w:r>
    </w:p>
    <w:p>
      <w:pPr>
        <w:pStyle w:val="ListParagraph"/>
        <w:numPr>
          <w:ilvl w:val="0"/>
          <w:numId w:val="2"/>
        </w:numPr>
        <w:spacing w:after="60"/>
      </w:pPr>
      <w:r>
        <w:rPr>
          <w:rFonts w:ascii="Arial" w:cs="Arial" w:eastAsia="Arial" w:hAnsi="Arial"/>
          <w:b/>
          <w:bCs/>
          <w:sz w:val="20"/>
          <w:szCs w:val="20"/>
        </w:rPr>
        <w:t xml:space="preserve">Tool: </w:t>
      </w:r>
      <w:r>
        <w:rPr>
          <w:rFonts w:ascii="Arial" w:cs="Arial" w:eastAsia="Arial" w:hAnsi="Arial"/>
          <w:sz w:val="20"/>
          <w:szCs w:val="20"/>
        </w:rPr>
        <w:t xml:space="preserve">olafhartong/ATTACKdatamap on GitHub provides Excel-based data source scoring that generates Navigator layers.</w:t>
      </w:r>
    </w:p>
    <w:p>
      <w:pPr>
        <w:spacing w:before="200" w:after="120"/>
      </w:pPr>
      <w:r>
        <w:rPr>
          <w:rFonts w:ascii="Arial" w:cs="Arial" w:eastAsia="Arial" w:hAnsi="Arial"/>
          <w:b/>
          <w:bCs/>
          <w:color w:val="404040"/>
          <w:sz w:val="22"/>
          <w:szCs w:val="22"/>
        </w:rPr>
        <w:t xml:space="preserve">Source 4: Community Mappings</w:t>
      </w:r>
    </w:p>
    <w:p>
      <w:pPr>
        <w:spacing w:after="120"/>
      </w:pPr>
      <w:r>
        <w:rPr>
          <w:rFonts w:ascii="Arial" w:cs="Arial" w:eastAsia="Arial" w:hAnsi="Arial"/>
          <w:sz w:val="20"/>
          <w:szCs w:val="20"/>
        </w:rPr>
        <w:t xml:space="preserve">Open-source detection rule repositories (Sigma rules, Elastic detection rules, Splunk Security Content) tag rules with ATT&amp;CK technique IDs. These provide a practical mapping of "if you run this SIEM with these rules enabled, you have detection for these techniques."</w:t>
      </w:r>
    </w:p>
    <w:p>
      <w:pPr>
        <w:pStyle w:val="Heading2"/>
        <w:spacing w:before="280" w:after="160"/>
      </w:pPr>
      <w:r>
        <w:rPr>
          <w:rFonts w:ascii="Arial" w:cs="Arial" w:eastAsia="Arial" w:hAnsi="Arial"/>
          <w:b/>
          <w:bCs/>
          <w:color w:val="2E75B6"/>
          <w:sz w:val="26"/>
          <w:szCs w:val="26"/>
        </w:rPr>
        <w:t xml:space="preserve">2.2 Knowledge Base Schema</w:t>
      </w:r>
    </w:p>
    <w:p>
      <w:pPr>
        <w:spacing w:after="120"/>
      </w:pPr>
      <w:r>
        <w:rPr>
          <w:rFonts w:ascii="Arial" w:cs="Arial" w:eastAsia="Arial" w:hAnsi="Arial"/>
          <w:sz w:val="20"/>
          <w:szCs w:val="20"/>
        </w:rPr>
        <w:t xml:space="preserve">Store the coverage KB as a JSON file with this structure:</w:t>
      </w:r>
    </w:p>
    <w:p>
      <w:pPr>
        <w:spacing w:after="80"/>
        <w:ind w:left="360"/>
      </w:pPr>
      <w:r>
        <w:rPr>
          <w:rFonts w:ascii="Courier New" w:cs="Courier New" w:eastAsia="Courier New" w:hAnsi="Courier New"/>
          <w:color w:val="333333"/>
          <w:sz w:val="18"/>
          <w:szCs w:val="18"/>
        </w:rPr>
        <w:t xml:space="preserve">coverage-kb.json:</w:t>
      </w:r>
    </w:p>
    <w:p>
      <w:pPr>
        <w:spacing w:after="80"/>
        <w:ind w:left="360"/>
      </w:pPr>
      <w:r>
        <w:rPr>
          <w:rFonts w:ascii="Courier New" w:cs="Courier New" w:eastAsia="Courier New" w:hAnsi="Courier New"/>
          <w:color w:val="333333"/>
          <w:sz w:val="18"/>
          <w:szCs w:val="18"/>
        </w:rPr>
        <w:t xml:space="preserve">{</w:t>
      </w:r>
    </w:p>
    <w:p>
      <w:pPr>
        <w:spacing w:after="80"/>
        <w:ind w:left="360"/>
      </w:pPr>
      <w:r>
        <w:rPr>
          <w:rFonts w:ascii="Courier New" w:cs="Courier New" w:eastAsia="Courier New" w:hAnsi="Courier New"/>
          <w:color w:val="333333"/>
          <w:sz w:val="18"/>
          <w:szCs w:val="18"/>
        </w:rPr>
        <w:t xml:space="preserve">  "tools": {</w:t>
      </w:r>
    </w:p>
    <w:p>
      <w:pPr>
        <w:spacing w:after="80"/>
        <w:ind w:left="360"/>
      </w:pPr>
      <w:r>
        <w:rPr>
          <w:rFonts w:ascii="Courier New" w:cs="Courier New" w:eastAsia="Courier New" w:hAnsi="Courier New"/>
          <w:color w:val="333333"/>
          <w:sz w:val="18"/>
          <w:szCs w:val="18"/>
        </w:rPr>
        <w:t xml:space="preserve">    "crowdstrike-falcon": {</w:t>
      </w:r>
    </w:p>
    <w:p>
      <w:pPr>
        <w:spacing w:after="80"/>
        <w:ind w:left="360"/>
      </w:pPr>
      <w:r>
        <w:rPr>
          <w:rFonts w:ascii="Courier New" w:cs="Courier New" w:eastAsia="Courier New" w:hAnsi="Courier New"/>
          <w:color w:val="333333"/>
          <w:sz w:val="18"/>
          <w:szCs w:val="18"/>
        </w:rPr>
        <w:t xml:space="preserve">      "display_name": "CrowdStrike Falcon",</w:t>
      </w:r>
    </w:p>
    <w:p>
      <w:pPr>
        <w:spacing w:after="80"/>
        <w:ind w:left="360"/>
      </w:pPr>
      <w:r>
        <w:rPr>
          <w:rFonts w:ascii="Courier New" w:cs="Courier New" w:eastAsia="Courier New" w:hAnsi="Courier New"/>
          <w:color w:val="333333"/>
          <w:sz w:val="18"/>
          <w:szCs w:val="18"/>
        </w:rPr>
        <w:t xml:space="preserve">      "category": "edr",</w:t>
      </w:r>
    </w:p>
    <w:p>
      <w:pPr>
        <w:spacing w:after="80"/>
        <w:ind w:left="360"/>
      </w:pPr>
      <w:r>
        <w:rPr>
          <w:rFonts w:ascii="Courier New" w:cs="Courier New" w:eastAsia="Courier New" w:hAnsi="Courier New"/>
          <w:color w:val="333333"/>
          <w:sz w:val="18"/>
          <w:szCs w:val="18"/>
        </w:rPr>
        <w:t xml:space="preserve">      "data_source": "mitre_evals_2025",</w:t>
      </w:r>
    </w:p>
    <w:p>
      <w:pPr>
        <w:spacing w:after="80"/>
        <w:ind w:left="360"/>
      </w:pPr>
      <w:r>
        <w:rPr>
          <w:rFonts w:ascii="Courier New" w:cs="Courier New" w:eastAsia="Courier New" w:hAnsi="Courier New"/>
          <w:color w:val="333333"/>
          <w:sz w:val="18"/>
          <w:szCs w:val="18"/>
        </w:rPr>
        <w:t xml:space="preserve">      "techniques": {</w:t>
      </w:r>
    </w:p>
    <w:p>
      <w:pPr>
        <w:spacing w:after="80"/>
        <w:ind w:left="360"/>
      </w:pPr>
      <w:r>
        <w:rPr>
          <w:rFonts w:ascii="Courier New" w:cs="Courier New" w:eastAsia="Courier New" w:hAnsi="Courier New"/>
          <w:color w:val="333333"/>
          <w:sz w:val="18"/>
          <w:szCs w:val="18"/>
        </w:rPr>
        <w:t xml:space="preserve">        "T1059.001": { "detect": 0.9, "prevent": 0.7, "source": "ER7" },</w:t>
      </w:r>
    </w:p>
    <w:p>
      <w:pPr>
        <w:spacing w:after="80"/>
        <w:ind w:left="360"/>
      </w:pPr>
      <w:r>
        <w:rPr>
          <w:rFonts w:ascii="Courier New" w:cs="Courier New" w:eastAsia="Courier New" w:hAnsi="Courier New"/>
          <w:color w:val="333333"/>
          <w:sz w:val="18"/>
          <w:szCs w:val="18"/>
        </w:rPr>
        <w:t xml:space="preserve">        "T1055.012": { "detect": 0.8, "prevent": 0.6, "source": "ER7" },</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"splunk-enterprise-security": {</w:t>
      </w:r>
    </w:p>
    <w:p>
      <w:pPr>
        <w:spacing w:after="80"/>
        <w:ind w:left="360"/>
      </w:pPr>
      <w:r>
        <w:rPr>
          <w:rFonts w:ascii="Courier New" w:cs="Courier New" w:eastAsia="Courier New" w:hAnsi="Courier New"/>
          <w:color w:val="333333"/>
          <w:sz w:val="18"/>
          <w:szCs w:val="18"/>
        </w:rPr>
        <w:t xml:space="preserve">      "display_name": "Splunk Enterprise Security",</w:t>
      </w:r>
    </w:p>
    <w:p>
      <w:pPr>
        <w:spacing w:after="80"/>
        <w:ind w:left="360"/>
      </w:pPr>
      <w:r>
        <w:rPr>
          <w:rFonts w:ascii="Courier New" w:cs="Courier New" w:eastAsia="Courier New" w:hAnsi="Courier New"/>
          <w:color w:val="333333"/>
          <w:sz w:val="18"/>
          <w:szCs w:val="18"/>
        </w:rPr>
        <w:t xml:space="preserve">      "category": "siem",</w:t>
      </w:r>
    </w:p>
    <w:p>
      <w:pPr>
        <w:spacing w:after="80"/>
        <w:ind w:left="360"/>
      </w:pPr>
      <w:r>
        <w:rPr>
          <w:rFonts w:ascii="Courier New" w:cs="Courier New" w:eastAsia="Courier New" w:hAnsi="Courier New"/>
          <w:color w:val="333333"/>
          <w:sz w:val="18"/>
          <w:szCs w:val="18"/>
        </w:rPr>
        <w:t xml:space="preserve">      "data_source": "community_sigma_rules",</w:t>
      </w:r>
    </w:p>
    <w:p>
      <w:pPr>
        <w:spacing w:after="80"/>
        <w:ind w:left="360"/>
      </w:pPr>
      <w:r>
        <w:rPr>
          <w:rFonts w:ascii="Courier New" w:cs="Courier New" w:eastAsia="Courier New" w:hAnsi="Courier New"/>
          <w:color w:val="333333"/>
          <w:sz w:val="18"/>
          <w:szCs w:val="18"/>
        </w:rPr>
        <w:t xml:space="preserve">      "techniques": { ... }</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"infrastructure": {</w:t>
      </w:r>
    </w:p>
    <w:p>
      <w:pPr>
        <w:spacing w:after="80"/>
        <w:ind w:left="360"/>
      </w:pPr>
      <w:r>
        <w:rPr>
          <w:rFonts w:ascii="Courier New" w:cs="Courier New" w:eastAsia="Courier New" w:hAnsi="Courier New"/>
          <w:color w:val="333333"/>
          <w:sz w:val="18"/>
          <w:szCs w:val="18"/>
        </w:rPr>
        <w:t xml:space="preserve">    "active-directory": {</w:t>
      </w:r>
    </w:p>
    <w:p>
      <w:pPr>
        <w:spacing w:after="80"/>
        <w:ind w:left="360"/>
      </w:pPr>
      <w:r>
        <w:rPr>
          <w:rFonts w:ascii="Courier New" w:cs="Courier New" w:eastAsia="Courier New" w:hAnsi="Courier New"/>
          <w:color w:val="333333"/>
          <w:sz w:val="18"/>
          <w:szCs w:val="18"/>
        </w:rPr>
        <w:t xml:space="preserve">      "display_name": "Active Directory",</w:t>
      </w:r>
    </w:p>
    <w:p>
      <w:pPr>
        <w:spacing w:after="80"/>
        <w:ind w:left="360"/>
      </w:pPr>
      <w:r>
        <w:rPr>
          <w:rFonts w:ascii="Courier New" w:cs="Courier New" w:eastAsia="Courier New" w:hAnsi="Courier New"/>
          <w:color w:val="333333"/>
          <w:sz w:val="18"/>
          <w:szCs w:val="18"/>
        </w:rPr>
        <w:t xml:space="preserve">      "category": "identity",</w:t>
      </w:r>
    </w:p>
    <w:p>
      <w:pPr>
        <w:spacing w:after="80"/>
        <w:ind w:left="360"/>
      </w:pPr>
      <w:r>
        <w:rPr>
          <w:rFonts w:ascii="Courier New" w:cs="Courier New" w:eastAsia="Courier New" w:hAnsi="Courier New"/>
          <w:color w:val="333333"/>
          <w:sz w:val="18"/>
          <w:szCs w:val="18"/>
        </w:rPr>
        <w:t xml:space="preserve">      "exposes": {</w:t>
      </w:r>
    </w:p>
    <w:p>
      <w:pPr>
        <w:spacing w:after="80"/>
        <w:ind w:left="360"/>
      </w:pPr>
      <w:r>
        <w:rPr>
          <w:rFonts w:ascii="Courier New" w:cs="Courier New" w:eastAsia="Courier New" w:hAnsi="Courier New"/>
          <w:color w:val="333333"/>
          <w:sz w:val="18"/>
          <w:szCs w:val="18"/>
        </w:rPr>
        <w:t xml:space="preserve">        "T1003.001": 0.9,  // LSASS Memory - AD makes this highly relevant</w:t>
      </w:r>
    </w:p>
    <w:p>
      <w:pPr>
        <w:spacing w:after="80"/>
        <w:ind w:left="360"/>
      </w:pPr>
      <w:r>
        <w:rPr>
          <w:rFonts w:ascii="Courier New" w:cs="Courier New" w:eastAsia="Courier New" w:hAnsi="Courier New"/>
          <w:color w:val="333333"/>
          <w:sz w:val="18"/>
          <w:szCs w:val="18"/>
        </w:rPr>
        <w:t xml:space="preserve">        "T1558.003": 1.0,  // Kerberoasting - only exists with AD</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"aws": {</w:t>
      </w:r>
    </w:p>
    <w:p>
      <w:pPr>
        <w:spacing w:after="80"/>
        <w:ind w:left="360"/>
      </w:pPr>
      <w:r>
        <w:rPr>
          <w:rFonts w:ascii="Courier New" w:cs="Courier New" w:eastAsia="Courier New" w:hAnsi="Courier New"/>
          <w:color w:val="333333"/>
          <w:sz w:val="18"/>
          <w:szCs w:val="18"/>
        </w:rPr>
        <w:t xml:space="preserve">      "display_name": "Amazon Web Services",</w:t>
      </w:r>
    </w:p>
    <w:p>
      <w:pPr>
        <w:spacing w:after="80"/>
        <w:ind w:left="360"/>
      </w:pPr>
      <w:r>
        <w:rPr>
          <w:rFonts w:ascii="Courier New" w:cs="Courier New" w:eastAsia="Courier New" w:hAnsi="Courier New"/>
          <w:color w:val="333333"/>
          <w:sz w:val="18"/>
          <w:szCs w:val="18"/>
        </w:rPr>
        <w:t xml:space="preserve">      "category": "cloud",</w:t>
      </w:r>
    </w:p>
    <w:p>
      <w:pPr>
        <w:spacing w:after="80"/>
        <w:ind w:left="360"/>
      </w:pPr>
      <w:r>
        <w:rPr>
          <w:rFonts w:ascii="Courier New" w:cs="Courier New" w:eastAsia="Courier New" w:hAnsi="Courier New"/>
          <w:color w:val="333333"/>
          <w:sz w:val="18"/>
          <w:szCs w:val="18"/>
        </w:rPr>
        <w:t xml:space="preserve">      "exposes": {</w:t>
      </w:r>
    </w:p>
    <w:p>
      <w:pPr>
        <w:spacing w:after="80"/>
        <w:ind w:left="360"/>
      </w:pPr>
      <w:r>
        <w:rPr>
          <w:rFonts w:ascii="Courier New" w:cs="Courier New" w:eastAsia="Courier New" w:hAnsi="Courier New"/>
          <w:color w:val="333333"/>
          <w:sz w:val="18"/>
          <w:szCs w:val="18"/>
        </w:rPr>
        <w:t xml:space="preserve">        "T1078.004": 0.8,  // Cloud Accounts</w:t>
      </w:r>
    </w:p>
    <w:p>
      <w:pPr>
        <w:spacing w:after="80"/>
        <w:ind w:left="360"/>
      </w:pPr>
      <w:r>
        <w:rPr>
          <w:rFonts w:ascii="Courier New" w:cs="Courier New" w:eastAsia="Courier New" w:hAnsi="Courier New"/>
          <w:color w:val="333333"/>
          <w:sz w:val="18"/>
          <w:szCs w:val="18"/>
        </w:rPr>
        <w:t xml:space="preserve">        "T1580": 0.7,      // Cloud Infrastructure Discovery</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"metadata": {</w:t>
      </w:r>
    </w:p>
    <w:p>
      <w:pPr>
        <w:spacing w:after="80"/>
        <w:ind w:left="360"/>
      </w:pPr>
      <w:r>
        <w:rPr>
          <w:rFonts w:ascii="Courier New" w:cs="Courier New" w:eastAsia="Courier New" w:hAnsi="Courier New"/>
          <w:color w:val="333333"/>
          <w:sz w:val="18"/>
          <w:szCs w:val="18"/>
        </w:rPr>
        <w:t xml:space="preserve">    "attack_version": "16.1",</w:t>
      </w:r>
    </w:p>
    <w:p>
      <w:pPr>
        <w:spacing w:after="80"/>
        <w:ind w:left="360"/>
      </w:pPr>
      <w:r>
        <w:rPr>
          <w:rFonts w:ascii="Courier New" w:cs="Courier New" w:eastAsia="Courier New" w:hAnsi="Courier New"/>
          <w:color w:val="333333"/>
          <w:sz w:val="18"/>
          <w:szCs w:val="18"/>
        </w:rPr>
        <w:t xml:space="preserve">    "last_updated": "2026-03-10",</w:t>
      </w:r>
    </w:p>
    <w:p>
      <w:pPr>
        <w:spacing w:after="80"/>
        <w:ind w:left="360"/>
      </w:pPr>
      <w:r>
        <w:rPr>
          <w:rFonts w:ascii="Courier New" w:cs="Courier New" w:eastAsia="Courier New" w:hAnsi="Courier New"/>
          <w:color w:val="333333"/>
          <w:sz w:val="18"/>
          <w:szCs w:val="18"/>
        </w:rPr>
        <w:t xml:space="preserve">    "sources": ["MITRE Evals ER7", "Sigma Rules", "Vendor Nav Layers"]</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w:t>
      </w:r>
    </w:p>
    <w:p>
      <w:pPr>
        <w:spacing w:after="120"/>
      </w:pPr>
      <w:r>
        <w:rPr>
          <w:rFonts w:ascii="Arial" w:cs="Arial" w:eastAsia="Arial" w:hAnsi="Arial"/>
          <w:sz w:val="20"/>
          <w:szCs w:val="20"/>
        </w:rPr>
        <w:t xml:space="preserve">The key distinction in the schema is between tools (which reduce exposure by detecting/preventing techniques) and infrastructure (which increases exposure by introducing attack surfaces). This dual-weighting model is what makes the environment profiling genuinely useful rather than just a checklist.</w:t>
      </w:r>
    </w:p>
    <w:p>
      <w:pPr>
        <w:pStyle w:val="Heading2"/>
        <w:spacing w:before="280" w:after="160"/>
      </w:pPr>
      <w:r>
        <w:rPr>
          <w:rFonts w:ascii="Arial" w:cs="Arial" w:eastAsia="Arial" w:hAnsi="Arial"/>
          <w:b/>
          <w:bCs/>
          <w:color w:val="2E75B6"/>
          <w:sz w:val="26"/>
          <w:szCs w:val="26"/>
        </w:rPr>
        <w:t xml:space="preserve">2.3 Building the Initial KB (Bootstrap Strategy)</w:t>
      </w:r>
    </w:p>
    <w:p>
      <w:pPr>
        <w:spacing w:after="120"/>
      </w:pPr>
      <w:r>
        <w:rPr>
          <w:rFonts w:ascii="Arial" w:cs="Arial" w:eastAsia="Arial" w:hAnsi="Arial"/>
          <w:sz w:val="20"/>
          <w:szCs w:val="20"/>
        </w:rPr>
        <w:t xml:space="preserve">Do NOT try to be comprehensive on day one. Bootstrap with a focused set that covers the most common enterprise stacks, then expand iteratively based on user demand.</w:t>
      </w:r>
    </w:p>
    <w:p>
      <w:pPr>
        <w:spacing w:before="200" w:after="120"/>
      </w:pPr>
      <w:r>
        <w:rPr>
          <w:rFonts w:ascii="Arial" w:cs="Arial" w:eastAsia="Arial" w:hAnsi="Arial"/>
          <w:b/>
          <w:bCs/>
          <w:color w:val="404040"/>
          <w:sz w:val="22"/>
          <w:szCs w:val="22"/>
        </w:rPr>
        <w:t xml:space="preserve">Phase 3a MVP: Cover These 25 Products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Products</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EDR/XDR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CrowdStrike Falcon, Microsoft Defender for Endpoint, SentinelOne Singularity, Cortex XDR, Carbon Black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MITRE Evals JSON + vendor Nav layers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SIEM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Splunk Enterprise Security, Microsoft Sentinel, Elastic Security, QRadar, Arctic Wolf</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Sigma rule coverage maps + vendor docs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Identity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Active Directory, Azure AD/Entra ID, Okta, CyberArk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ATT&amp;CK data source mappings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Cloud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AWS, Azure, GCP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ATT&amp;CK cloud matrix + CSP security service coverage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Network</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Palo Alto NGFW, Fortinet FortiGate, Zscaler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Vendor-published ATT&amp;CK mappings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Email Security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Proofpoint, Mimecast, Microsoft Defender for Office 365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Focus on TA0001 Initial Access techniques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Endpoint Hardening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ThreatLocker, AppLocker/WDAC, CrowdStrike Falcon Firewall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Application control = blocks execution techniques</w:t>
            </w:r>
          </w:p>
        </w:tc>
      </w:tr>
    </w:tbl>
    <w:p>
      <w:pPr>
        <w:spacing w:after="120"/>
      </w:pPr>
      <w:r>
        <w:rPr>
          <w:rFonts w:ascii="Arial" w:cs="Arial" w:eastAsia="Arial" w:hAnsi="Arial"/>
          <w:sz w:val="20"/>
          <w:szCs w:val="20"/>
        </w:rPr>
        <w:t xml:space="preserve">For each product, the KB needs coverage scores for the ~200 enterprise techniques. The MITRE Evals data gives this directly for EDR vendors. For SIEM products, derive coverage from which Sigma rules they support and which data sources they ingest. For infrastructure items, map from the ATT&amp;CK data sources model.</w:t>
      </w:r>
    </w:p>
    <w:p>
      <w:pPr>
        <w:spacing w:before="200" w:after="120"/>
      </w:pPr>
      <w:r>
        <w:rPr>
          <w:rFonts w:ascii="Arial" w:cs="Arial" w:eastAsia="Arial" w:hAnsi="Arial"/>
          <w:b/>
          <w:bCs/>
          <w:color w:val="404040"/>
          <w:sz w:val="22"/>
          <w:szCs w:val="22"/>
        </w:rPr>
        <w:t xml:space="preserve">AI-Assisted KB Construction</w:t>
      </w:r>
    </w:p>
    <w:p>
      <w:pPr>
        <w:spacing w:after="120"/>
      </w:pPr>
      <w:r>
        <w:rPr>
          <w:rFonts w:ascii="Arial" w:cs="Arial" w:eastAsia="Arial" w:hAnsi="Arial"/>
          <w:sz w:val="20"/>
          <w:szCs w:val="20"/>
        </w:rPr>
        <w:t xml:space="preserve">Use Claude API to accelerate KB construction: feed it a vendor's MITRE Eval JSON results (or their published Navigator layer), and have it output the coverage-kb.json format. For vendors without eval data, feed it the product documentation and have it estimate coverage scores with confidence levels. Flag AI-estimated scores visually in the UI so users know which mappings are independently tested vs. estimated.</w:t>
      </w:r>
    </w:p>
    <w:p>
      <w:r>
        <w:br w:type="page"/>
      </w:r>
    </w:p>
    <w:p>
      <w:pPr>
        <w:pStyle w:val="Heading1"/>
        <w:spacing w:before="360" w:after="200"/>
      </w:pPr>
      <w:r>
        <w:rPr>
          <w:rFonts w:ascii="Arial" w:cs="Arial" w:eastAsia="Arial" w:hAnsi="Arial"/>
          <w:b/>
          <w:bCs/>
          <w:color w:val="1F4E79"/>
          <w:sz w:val="32"/>
          <w:szCs w:val="32"/>
        </w:rPr>
        <w:t xml:space="preserve">3. Profile Wizard UI Specification</w:t>
      </w:r>
    </w:p>
    <w:p>
      <w:pPr>
        <w:pStyle w:val="Heading2"/>
        <w:spacing w:before="280" w:after="160"/>
      </w:pPr>
      <w:r>
        <w:rPr>
          <w:rFonts w:ascii="Arial" w:cs="Arial" w:eastAsia="Arial" w:hAnsi="Arial"/>
          <w:b/>
          <w:bCs/>
          <w:color w:val="2E75B6"/>
          <w:sz w:val="26"/>
          <w:szCs w:val="26"/>
        </w:rPr>
        <w:t xml:space="preserve">3.1 Wizard Steps</w:t>
      </w:r>
    </w:p>
    <w:p>
      <w:pPr>
        <w:spacing w:after="120"/>
      </w:pPr>
      <w:r>
        <w:rPr>
          <w:rFonts w:ascii="Arial" w:cs="Arial" w:eastAsia="Arial" w:hAnsi="Arial"/>
          <w:sz w:val="20"/>
          <w:szCs w:val="20"/>
        </w:rPr>
        <w:t xml:space="preserve">The profile wizard is a multi-step modal or sidebar panel. Each step collects one dimension of the environment. The wizard should feel fast — most users should complete it in under 2 minutes.</w:t>
      </w:r>
    </w:p>
    <w:p>
      <w:pPr>
        <w:spacing w:before="200" w:after="120"/>
      </w:pPr>
      <w:r>
        <w:rPr>
          <w:rFonts w:ascii="Arial" w:cs="Arial" w:eastAsia="Arial" w:hAnsi="Arial"/>
          <w:b/>
          <w:bCs/>
          <w:color w:val="404040"/>
          <w:sz w:val="22"/>
          <w:szCs w:val="22"/>
        </w:rPr>
        <w:t xml:space="preserve">Step 1: Organization Context (Optional but Helpful)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000"/>
        <w:gridCol w:w="2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Options</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Industry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Single-select dropdown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Financial Services, Healthcare, Government (State/Local), Government (Federal), Education, Manufacturing/OT, Technology, Retail, Other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Pre-selects likely threat actors and compliance requirements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Organization size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Single-select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Small (&lt;500), Medium (500-5000), Large (5000+)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Adjusts expected attack surface complexity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Primary compliance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Multi-select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NIST CSF, CMMC, HIPAA, PCI-DSS, SOC 2, FedRAMP, None/Other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Enables compliance gap analysis in reports</w:t>
            </w:r>
          </w:p>
        </w:tc>
      </w:tr>
    </w:tbl>
    <w:p>
      <w:pPr>
        <w:spacing w:before="200" w:after="120"/>
      </w:pPr>
      <w:r>
        <w:rPr>
          <w:rFonts w:ascii="Arial" w:cs="Arial" w:eastAsia="Arial" w:hAnsi="Arial"/>
          <w:b/>
          <w:bCs/>
          <w:color w:val="404040"/>
          <w:sz w:val="22"/>
          <w:szCs w:val="22"/>
        </w:rPr>
        <w:t xml:space="preserve">Step 2: Infrastructure Stack</w:t>
      </w:r>
    </w:p>
    <w:p>
      <w:pPr>
        <w:spacing w:after="120"/>
      </w:pPr>
      <w:r>
        <w:rPr>
          <w:rFonts w:ascii="Arial" w:cs="Arial" w:eastAsia="Arial" w:hAnsi="Arial"/>
          <w:sz w:val="20"/>
          <w:szCs w:val="20"/>
        </w:rPr>
        <w:t xml:space="preserve">Multi-select with search. User picks all that apply. Each selection adjusts the attack surface (exposes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Options (Searchable Multi-Select)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Identity &amp; Access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Active Directory, Azure AD / Entra ID, Okta, Ping Identity, CyberArk, Other IAM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Cloud Platforms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AWS, Azure, GCP, Oracle Cloud, No Cloud (on-prem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Operating Systems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Windows Server, Windows 10/11, macOS, Linux (Ubuntu/RHEL/etc), ChromeOS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Email Platform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Microsoft 365, Google Workspace, On-prem Exchange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Virtualization/Containers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VMware vSphere, Hyper-V, Docker/Kubernetes, None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OT/ICS (if applicable)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Rockwell/Allen-Bradley, Siemens, Schneider Electric, None</w:t>
            </w:r>
          </w:p>
        </w:tc>
      </w:tr>
    </w:tbl>
    <w:p>
      <w:pPr>
        <w:spacing w:before="200" w:after="120"/>
      </w:pPr>
      <w:r>
        <w:rPr>
          <w:rFonts w:ascii="Arial" w:cs="Arial" w:eastAsia="Arial" w:hAnsi="Arial"/>
          <w:b/>
          <w:bCs/>
          <w:color w:val="404040"/>
          <w:sz w:val="22"/>
          <w:szCs w:val="22"/>
        </w:rPr>
        <w:t xml:space="preserve">Step 3: Security Tooling</w:t>
      </w:r>
    </w:p>
    <w:p>
      <w:pPr>
        <w:spacing w:after="120"/>
      </w:pPr>
      <w:r>
        <w:rPr>
          <w:rFonts w:ascii="Arial" w:cs="Arial" w:eastAsia="Arial" w:hAnsi="Arial"/>
          <w:sz w:val="20"/>
          <w:szCs w:val="20"/>
        </w:rPr>
        <w:t xml:space="preserve">Multi-select with search. User picks their deployed security tools. Each selection reduces exposure for the techniques that tool covers.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Options (Searchable Multi-Select)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EDR / XDR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CrowdStrike Falcon, Microsoft Defender for Endpoint, SentinelOne, Cortex XDR (Palo Alto), Carbon Black (VMware), Cybereason, ESET, Sophos Intercept X, Trend Micro Vision One, WithSecure, Other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SIEM / Log Management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Splunk Enterprise Security, Microsoft Sentinel, Elastic Security, IBM QRadar, Arctic Wolf, Graylog, Exabeam, LogRhythm, Sumo Logic, Other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Network Security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Palo Alto NGFW, Fortinet FortiGate, Cisco Firepower, Zscaler, Check Point, Cloudflare, Other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Email Security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Proofpoint, Mimecast, Microsoft Defender for Office 365, Abnormal Security, Barracuda, Other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Endpoint Hardening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ThreatLocker, Ivanti/AppSense, CrowdStrike Falcon Firewall, Microsoft AppLocker/WDAC, Other application control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Vulnerability Mgmt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Tenable, Qualys, Rapid7 InsightVM, CrowdStrike Falcon Spotlight, Other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Identity Security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CrowdStrike Identity, Microsoft Defender for Identity, Semperis, Other</w:t>
            </w:r>
          </w:p>
        </w:tc>
      </w:tr>
    </w:tbl>
    <w:p>
      <w:pPr>
        <w:spacing w:before="200" w:after="120"/>
      </w:pPr>
      <w:r>
        <w:rPr>
          <w:rFonts w:ascii="Arial" w:cs="Arial" w:eastAsia="Arial" w:hAnsi="Arial"/>
          <w:b/>
          <w:bCs/>
          <w:color w:val="404040"/>
          <w:sz w:val="22"/>
          <w:szCs w:val="22"/>
        </w:rPr>
        <w:t xml:space="preserve">Step 4: Threat Context (Optional, Enhances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00"/>
        <w:gridCol w:w="25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Options</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Primary threat actors of concern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Multi-select (top 10 by industry)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APT28, APT29, Lazarus Group, Scattered Spider, Mustang Panda, etc. (populated from STIX intrusion-set objects)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Weights graph toward techniques used by these actors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Recent incidents/concerns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Multi-select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Ransomware, BEC/Phishing, Insider Threat, Supply Chain, Cloud Compromise, Data Exfiltration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Weights impact-side techniques</w:t>
            </w:r>
          </w:p>
        </w:tc>
      </w:tr>
    </w:tbl>
    <w:p>
      <w:pPr>
        <w:spacing w:before="200" w:after="120"/>
      </w:pPr>
      <w:r>
        <w:rPr>
          <w:rFonts w:ascii="Arial" w:cs="Arial" w:eastAsia="Arial" w:hAnsi="Arial"/>
          <w:b/>
          <w:bCs/>
          <w:color w:val="404040"/>
          <w:sz w:val="22"/>
          <w:szCs w:val="22"/>
        </w:rPr>
        <w:t xml:space="preserve">Step 5: Review &amp; Generate</w:t>
      </w:r>
    </w:p>
    <w:p>
      <w:pPr>
        <w:spacing w:after="120"/>
      </w:pPr>
      <w:r>
        <w:rPr>
          <w:rFonts w:ascii="Arial" w:cs="Arial" w:eastAsia="Arial" w:hAnsi="Arial"/>
          <w:sz w:val="20"/>
          <w:szCs w:val="20"/>
        </w:rPr>
        <w:t xml:space="preserve">Summary screen showing the profile before computation. User can edit any step. Then a "Generate Analysis" button triggers the exposure weighting engine and updates the graph.</w:t>
      </w:r>
    </w:p>
    <w:p>
      <w:pPr>
        <w:pStyle w:val="Heading2"/>
        <w:spacing w:before="280" w:after="160"/>
      </w:pPr>
      <w:r>
        <w:rPr>
          <w:rFonts w:ascii="Arial" w:cs="Arial" w:eastAsia="Arial" w:hAnsi="Arial"/>
          <w:b/>
          <w:bCs/>
          <w:color w:val="2E75B6"/>
          <w:sz w:val="26"/>
          <w:szCs w:val="26"/>
        </w:rPr>
        <w:t xml:space="preserve">3.2 UI Implementation Notes</w:t>
      </w:r>
    </w:p>
    <w:p>
      <w:pPr>
        <w:pStyle w:val="ListParagraph"/>
        <w:numPr>
          <w:ilvl w:val="0"/>
          <w:numId w:val="2"/>
        </w:numPr>
        <w:spacing w:after="60"/>
      </w:pPr>
      <w:r>
        <w:rPr>
          <w:rFonts w:ascii="Arial" w:cs="Arial" w:eastAsia="Arial" w:hAnsi="Arial"/>
          <w:b/>
          <w:bCs/>
          <w:sz w:val="20"/>
          <w:szCs w:val="20"/>
        </w:rPr>
        <w:t xml:space="preserve">Component library: </w:t>
      </w:r>
      <w:r>
        <w:rPr>
          <w:rFonts w:ascii="Arial" w:cs="Arial" w:eastAsia="Arial" w:hAnsi="Arial"/>
          <w:sz w:val="20"/>
          <w:szCs w:val="20"/>
        </w:rPr>
        <w:t xml:space="preserve">Use shadcn/ui Select, MultiSelect, and Dialog components for the wizard. These are already available in the project's React stack.</w:t>
      </w:r>
    </w:p>
    <w:p>
      <w:pPr>
        <w:pStyle w:val="ListParagraph"/>
        <w:numPr>
          <w:ilvl w:val="0"/>
          <w:numId w:val="2"/>
        </w:numPr>
        <w:spacing w:after="60"/>
      </w:pPr>
      <w:r>
        <w:rPr>
          <w:rFonts w:ascii="Arial" w:cs="Arial" w:eastAsia="Arial" w:hAnsi="Arial"/>
          <w:b/>
          <w:bCs/>
          <w:sz w:val="20"/>
          <w:szCs w:val="20"/>
        </w:rPr>
        <w:t xml:space="preserve">State management: </w:t>
      </w:r>
      <w:r>
        <w:rPr>
          <w:rFonts w:ascii="Arial" w:cs="Arial" w:eastAsia="Arial" w:hAnsi="Arial"/>
          <w:sz w:val="20"/>
          <w:szCs w:val="20"/>
        </w:rPr>
        <w:t xml:space="preserve">Store the environment profile as a single EnvironmentProfile TypeScript interface in React state. Persist to localStorage so users don't have to re-enter on every visit.</w:t>
      </w:r>
    </w:p>
    <w:p>
      <w:pPr>
        <w:pStyle w:val="ListParagraph"/>
        <w:numPr>
          <w:ilvl w:val="0"/>
          <w:numId w:val="2"/>
        </w:numPr>
        <w:spacing w:after="60"/>
      </w:pPr>
      <w:r>
        <w:rPr>
          <w:rFonts w:ascii="Arial" w:cs="Arial" w:eastAsia="Arial" w:hAnsi="Arial"/>
          <w:b/>
          <w:bCs/>
          <w:sz w:val="20"/>
          <w:szCs w:val="20"/>
        </w:rPr>
        <w:t xml:space="preserve">Searchable multi-select: </w:t>
      </w:r>
      <w:r>
        <w:rPr>
          <w:rFonts w:ascii="Arial" w:cs="Arial" w:eastAsia="Arial" w:hAnsi="Arial"/>
          <w:sz w:val="20"/>
          <w:szCs w:val="20"/>
        </w:rPr>
        <w:t xml:space="preserve">Essential for the security tooling step. Use a combobox pattern with fuzzy search — users should be able to type "crowd" and see CrowdStrike options immediately.</w:t>
      </w:r>
    </w:p>
    <w:p>
      <w:pPr>
        <w:pStyle w:val="ListParagraph"/>
        <w:numPr>
          <w:ilvl w:val="0"/>
          <w:numId w:val="2"/>
        </w:numPr>
        <w:spacing w:after="60"/>
      </w:pPr>
      <w:r>
        <w:rPr>
          <w:rFonts w:ascii="Arial" w:cs="Arial" w:eastAsia="Arial" w:hAnsi="Arial"/>
          <w:b/>
          <w:bCs/>
          <w:sz w:val="20"/>
          <w:szCs w:val="20"/>
        </w:rPr>
        <w:t xml:space="preserve">Progressive disclosure: </w:t>
      </w:r>
      <w:r>
        <w:rPr>
          <w:rFonts w:ascii="Arial" w:cs="Arial" w:eastAsia="Arial" w:hAnsi="Arial"/>
          <w:sz w:val="20"/>
          <w:szCs w:val="20"/>
        </w:rPr>
        <w:t xml:space="preserve">Steps 1 and 4 are optional. Don't force users through them. Show "Skip" buttons. The tool should work with just Steps 2 and 3 (infrastructure + security tools).</w:t>
      </w:r>
    </w:p>
    <w:p>
      <w:r>
        <w:br w:type="page"/>
      </w:r>
    </w:p>
    <w:p>
      <w:pPr>
        <w:pStyle w:val="Heading1"/>
        <w:spacing w:before="360" w:after="200"/>
      </w:pPr>
      <w:r>
        <w:rPr>
          <w:rFonts w:ascii="Arial" w:cs="Arial" w:eastAsia="Arial" w:hAnsi="Arial"/>
          <w:b/>
          <w:bCs/>
          <w:color w:val="1F4E79"/>
          <w:sz w:val="32"/>
          <w:szCs w:val="32"/>
        </w:rPr>
        <w:t xml:space="preserve">4. Exposure Weighting Engine</w:t>
      </w:r>
    </w:p>
    <w:p>
      <w:pPr>
        <w:spacing w:after="120"/>
      </w:pPr>
      <w:r>
        <w:rPr>
          <w:rFonts w:ascii="Arial" w:cs="Arial" w:eastAsia="Arial" w:hAnsi="Arial"/>
          <w:sz w:val="20"/>
          <w:szCs w:val="20"/>
        </w:rPr>
        <w:t xml:space="preserve">This is the core algorithm. It takes the user's environment profile and the coverage KB, and computes a per-technique exposure score between 0.0 (fully mitigated) and 1.0 (fully exposed).</w:t>
      </w:r>
    </w:p>
    <w:p>
      <w:pPr>
        <w:pStyle w:val="Heading2"/>
        <w:spacing w:before="280" w:after="160"/>
      </w:pPr>
      <w:r>
        <w:rPr>
          <w:rFonts w:ascii="Arial" w:cs="Arial" w:eastAsia="Arial" w:hAnsi="Arial"/>
          <w:b/>
          <w:bCs/>
          <w:color w:val="2E75B6"/>
          <w:sz w:val="26"/>
          <w:szCs w:val="26"/>
        </w:rPr>
        <w:t xml:space="preserve">4.1 Algorithm</w:t>
      </w:r>
    </w:p>
    <w:p>
      <w:pPr>
        <w:spacing w:before="200" w:after="120"/>
      </w:pPr>
      <w:r>
        <w:rPr>
          <w:rFonts w:ascii="Arial" w:cs="Arial" w:eastAsia="Arial" w:hAnsi="Arial"/>
          <w:b/>
          <w:bCs/>
          <w:color w:val="404040"/>
          <w:sz w:val="22"/>
          <w:szCs w:val="22"/>
        </w:rPr>
        <w:t xml:space="preserve">Step 1: Compute Base Exposure from Infrastructure</w:t>
      </w:r>
    </w:p>
    <w:p>
      <w:pPr>
        <w:spacing w:after="120"/>
      </w:pPr>
      <w:r>
        <w:rPr>
          <w:rFonts w:ascii="Arial" w:cs="Arial" w:eastAsia="Arial" w:hAnsi="Arial"/>
          <w:sz w:val="20"/>
          <w:szCs w:val="20"/>
        </w:rPr>
        <w:t xml:space="preserve">For each technique T in the ATT&amp;CK graph, compute the base exposure based on whether the user's infrastructure makes that technique relevant:</w:t>
      </w:r>
    </w:p>
    <w:p>
      <w:pPr>
        <w:spacing w:after="80"/>
        <w:ind w:left="360"/>
      </w:pPr>
      <w:r>
        <w:rPr>
          <w:rFonts w:ascii="Courier New" w:cs="Courier New" w:eastAsia="Courier New" w:hAnsi="Courier New"/>
          <w:color w:val="333333"/>
          <w:sz w:val="18"/>
          <w:szCs w:val="18"/>
        </w:rPr>
        <w:t xml:space="preserve">base_exposure[T] = max(infrastructure_item.exposes[T] for each item in user_profile.infrastructure)</w:t>
      </w:r>
    </w:p>
    <w:p>
      <w:pPr>
        <w:spacing w:after="120"/>
      </w:pPr>
      <w:r>
        <w:rPr>
          <w:rFonts w:ascii="Arial" w:cs="Arial" w:eastAsia="Arial" w:hAnsi="Arial"/>
          <w:sz w:val="20"/>
          <w:szCs w:val="20"/>
        </w:rPr>
        <w:t xml:space="preserve">If no infrastructure item exposes technique T, set base_exposure[T] to a default value (0.3 for techniques applicable to the user's OS platforms, 0.0 for techniques on platforms they don't run). For example, if the user has no macOS systems, macOS-only techniques get 0.0.</w:t>
      </w:r>
    </w:p>
    <w:p>
      <w:pPr>
        <w:spacing w:before="200" w:after="120"/>
      </w:pPr>
      <w:r>
        <w:rPr>
          <w:rFonts w:ascii="Arial" w:cs="Arial" w:eastAsia="Arial" w:hAnsi="Arial"/>
          <w:b/>
          <w:bCs/>
          <w:color w:val="404040"/>
          <w:sz w:val="22"/>
          <w:szCs w:val="22"/>
        </w:rPr>
        <w:t xml:space="preserve">Step 2: Compute Coverage Reduction from Security Tools</w:t>
      </w:r>
    </w:p>
    <w:p>
      <w:pPr>
        <w:spacing w:after="120"/>
      </w:pPr>
      <w:r>
        <w:rPr>
          <w:rFonts w:ascii="Arial" w:cs="Arial" w:eastAsia="Arial" w:hAnsi="Arial"/>
          <w:sz w:val="20"/>
          <w:szCs w:val="20"/>
        </w:rPr>
        <w:t xml:space="preserve">For each technique T, compute how much the user's security tooling reduces exposure:</w:t>
      </w:r>
    </w:p>
    <w:p>
      <w:pPr>
        <w:spacing w:after="80"/>
        <w:ind w:left="360"/>
      </w:pPr>
      <w:r>
        <w:rPr>
          <w:rFonts w:ascii="Courier New" w:cs="Courier New" w:eastAsia="Courier New" w:hAnsi="Courier New"/>
          <w:color w:val="333333"/>
          <w:sz w:val="18"/>
          <w:szCs w:val="18"/>
        </w:rPr>
        <w:t xml:space="preserve">coverage[T] = 1 - product(1 - tool.techniques[T].detect for each tool in user_profile.security_tools if T in tool.techniques)</w:t>
      </w:r>
    </w:p>
    <w:p>
      <w:pPr>
        <w:spacing w:after="120"/>
      </w:pPr>
      <w:r>
        <w:rPr>
          <w:rFonts w:ascii="Arial" w:cs="Arial" w:eastAsia="Arial" w:hAnsi="Arial"/>
          <w:sz w:val="20"/>
          <w:szCs w:val="20"/>
        </w:rPr>
        <w:t xml:space="preserve">This uses the complementary product formula so that multiple overlapping tools provide diminishing but cumulative coverage. Two tools that each detect a technique at 0.7 give combined coverage of 1 - (0.3 * 0.3) = 0.91, not 1.4. This correctly models defense-in-depth without exceeding 1.0.</w:t>
      </w:r>
    </w:p>
    <w:p>
      <w:pPr>
        <w:spacing w:before="200" w:after="120"/>
      </w:pPr>
      <w:r>
        <w:rPr>
          <w:rFonts w:ascii="Arial" w:cs="Arial" w:eastAsia="Arial" w:hAnsi="Arial"/>
          <w:b/>
          <w:bCs/>
          <w:color w:val="404040"/>
          <w:sz w:val="22"/>
          <w:szCs w:val="22"/>
        </w:rPr>
        <w:t xml:space="preserve">Step 3: Compute Final Exposure Score</w:t>
      </w:r>
    </w:p>
    <w:p>
      <w:pPr>
        <w:spacing w:after="80"/>
        <w:ind w:left="360"/>
      </w:pPr>
      <w:r>
        <w:rPr>
          <w:rFonts w:ascii="Courier New" w:cs="Courier New" w:eastAsia="Courier New" w:hAnsi="Courier New"/>
          <w:color w:val="333333"/>
          <w:sz w:val="18"/>
          <w:szCs w:val="18"/>
        </w:rPr>
        <w:t xml:space="preserve">exposure[T] = base_exposure[T] * (1 - coverage[T])</w:t>
      </w:r>
    </w:p>
    <w:p>
      <w:pPr>
        <w:spacing w:after="120"/>
      </w:pPr>
      <w:r>
        <w:rPr>
          <w:rFonts w:ascii="Arial" w:cs="Arial" w:eastAsia="Arial" w:hAnsi="Arial"/>
          <w:sz w:val="20"/>
          <w:szCs w:val="20"/>
        </w:rPr>
        <w:t xml:space="preserve">A technique with high base exposure (because the infrastructure makes it relevant) but high coverage (because security tools detect it well) gets a low final exposure score. A technique with moderate base exposure but zero coverage gets that full exposure score passed to the graph engine.</w:t>
      </w:r>
    </w:p>
    <w:p>
      <w:pPr>
        <w:spacing w:before="200" w:after="120"/>
      </w:pPr>
      <w:r>
        <w:rPr>
          <w:rFonts w:ascii="Arial" w:cs="Arial" w:eastAsia="Arial" w:hAnsi="Arial"/>
          <w:b/>
          <w:bCs/>
          <w:color w:val="404040"/>
          <w:sz w:val="22"/>
          <w:szCs w:val="22"/>
        </w:rPr>
        <w:t xml:space="preserve">Step 4: Inject into Graph Model</w:t>
      </w:r>
    </w:p>
    <w:p>
      <w:pPr>
        <w:spacing w:after="120"/>
      </w:pPr>
      <w:r>
        <w:rPr>
          <w:rFonts w:ascii="Arial" w:cs="Arial" w:eastAsia="Arial" w:hAnsi="Arial"/>
          <w:sz w:val="20"/>
          <w:szCs w:val="20"/>
        </w:rPr>
        <w:t xml:space="preserve">Replace the existing baseCriticality values on each technique node with the computed exposure scores. The existing betweenness centrality and greedy set cover algorithms then operate on the exposure-weighted graph, naturally prioritizing chokepoint techniques that are both structurally important AND inadequately covered in the user's specific environment.</w:t>
      </w:r>
    </w:p>
    <w:p>
      <w:pPr>
        <w:pStyle w:val="Heading2"/>
        <w:spacing w:before="280" w:after="160"/>
      </w:pPr>
      <w:r>
        <w:rPr>
          <w:rFonts w:ascii="Arial" w:cs="Arial" w:eastAsia="Arial" w:hAnsi="Arial"/>
          <w:b/>
          <w:bCs/>
          <w:color w:val="2E75B6"/>
          <w:sz w:val="26"/>
          <w:szCs w:val="26"/>
        </w:rPr>
        <w:t xml:space="preserve">4.2 Threat Actor Overlay (Optional Enhancement)</w:t>
      </w:r>
    </w:p>
    <w:p>
      <w:pPr>
        <w:spacing w:after="120"/>
      </w:pPr>
      <w:r>
        <w:rPr>
          <w:rFonts w:ascii="Arial" w:cs="Arial" w:eastAsia="Arial" w:hAnsi="Arial"/>
          <w:sz w:val="20"/>
          <w:szCs w:val="20"/>
        </w:rPr>
        <w:t xml:space="preserve">If the user selected threat actors in Step 4 of the wizard, apply an additional multiplier:</w:t>
      </w:r>
    </w:p>
    <w:p>
      <w:pPr>
        <w:spacing w:after="80"/>
        <w:ind w:left="360"/>
      </w:pPr>
      <w:r>
        <w:rPr>
          <w:rFonts w:ascii="Courier New" w:cs="Courier New" w:eastAsia="Courier New" w:hAnsi="Courier New"/>
          <w:color w:val="333333"/>
          <w:sz w:val="18"/>
          <w:szCs w:val="18"/>
        </w:rPr>
        <w:t xml:space="preserve">actor_weight[T] = 1.0 + (0.5 * count_of_selected_actors_using_T / total_selected_actors)</w:t>
      </w:r>
    </w:p>
    <w:p>
      <w:pPr>
        <w:spacing w:after="80"/>
        <w:ind w:left="360"/>
      </w:pPr>
      <w:r>
        <w:rPr>
          <w:rFonts w:ascii="Courier New" w:cs="Courier New" w:eastAsia="Courier New" w:hAnsi="Courier New"/>
          <w:color w:val="333333"/>
          <w:sz w:val="18"/>
          <w:szCs w:val="18"/>
        </w:rPr>
        <w:t xml:space="preserve">final_exposure[T] = exposure[T] * actor_weight[T]</w:t>
      </w:r>
    </w:p>
    <w:p>
      <w:pPr>
        <w:spacing w:after="120"/>
      </w:pPr>
      <w:r>
        <w:rPr>
          <w:rFonts w:ascii="Arial" w:cs="Arial" w:eastAsia="Arial" w:hAnsi="Arial"/>
          <w:sz w:val="20"/>
          <w:szCs w:val="20"/>
        </w:rPr>
        <w:t xml:space="preserve">This boosts techniques that the user's specific threat actors are known to use, capped at a 1.5x multiplier. The actor-to-technique mappings come directly from the STIX relationship objects (intrusion-set → uses → attack-pattern).</w:t>
      </w:r>
    </w:p>
    <w:p>
      <w:pPr>
        <w:pStyle w:val="Heading2"/>
        <w:spacing w:before="280" w:after="160"/>
      </w:pPr>
      <w:r>
        <w:rPr>
          <w:rFonts w:ascii="Arial" w:cs="Arial" w:eastAsia="Arial" w:hAnsi="Arial"/>
          <w:b/>
          <w:bCs/>
          <w:color w:val="2E75B6"/>
          <w:sz w:val="26"/>
          <w:szCs w:val="26"/>
        </w:rPr>
        <w:t xml:space="preserve">4.3 TypeScript Interface</w:t>
      </w:r>
    </w:p>
    <w:p>
      <w:pPr>
        <w:spacing w:after="80"/>
        <w:ind w:left="360"/>
      </w:pPr>
      <w:r>
        <w:rPr>
          <w:rFonts w:ascii="Courier New" w:cs="Courier New" w:eastAsia="Courier New" w:hAnsi="Courier New"/>
          <w:color w:val="333333"/>
          <w:sz w:val="18"/>
          <w:szCs w:val="18"/>
        </w:rPr>
        <w:t xml:space="preserve">interface EnvironmentProfile {</w:t>
      </w:r>
    </w:p>
    <w:p>
      <w:pPr>
        <w:spacing w:after="80"/>
        <w:ind w:left="360"/>
      </w:pPr>
      <w:r>
        <w:rPr>
          <w:rFonts w:ascii="Courier New" w:cs="Courier New" w:eastAsia="Courier New" w:hAnsi="Courier New"/>
          <w:color w:val="333333"/>
          <w:sz w:val="18"/>
          <w:szCs w:val="18"/>
        </w:rPr>
        <w:t xml:space="preserve">  organization?: {</w:t>
      </w:r>
    </w:p>
    <w:p>
      <w:pPr>
        <w:spacing w:after="80"/>
        <w:ind w:left="360"/>
      </w:pPr>
      <w:r>
        <w:rPr>
          <w:rFonts w:ascii="Courier New" w:cs="Courier New" w:eastAsia="Courier New" w:hAnsi="Courier New"/>
          <w:color w:val="333333"/>
          <w:sz w:val="18"/>
          <w:szCs w:val="18"/>
        </w:rPr>
        <w:t xml:space="preserve">    industry: string;</w:t>
      </w:r>
    </w:p>
    <w:p>
      <w:pPr>
        <w:spacing w:after="80"/>
        <w:ind w:left="360"/>
      </w:pPr>
      <w:r>
        <w:rPr>
          <w:rFonts w:ascii="Courier New" w:cs="Courier New" w:eastAsia="Courier New" w:hAnsi="Courier New"/>
          <w:color w:val="333333"/>
          <w:sz w:val="18"/>
          <w:szCs w:val="18"/>
        </w:rPr>
        <w:t xml:space="preserve">    size: 'small' | 'medium' | 'large';</w:t>
      </w:r>
    </w:p>
    <w:p>
      <w:pPr>
        <w:spacing w:after="80"/>
        <w:ind w:left="360"/>
      </w:pPr>
      <w:r>
        <w:rPr>
          <w:rFonts w:ascii="Courier New" w:cs="Courier New" w:eastAsia="Courier New" w:hAnsi="Courier New"/>
          <w:color w:val="333333"/>
          <w:sz w:val="18"/>
          <w:szCs w:val="18"/>
        </w:rPr>
        <w:t xml:space="preserve">    compliance: string[];</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infrastructure: string[];    // IDs from coverage-kb.json</w:t>
      </w:r>
    </w:p>
    <w:p>
      <w:pPr>
        <w:spacing w:after="80"/>
        <w:ind w:left="360"/>
      </w:pPr>
      <w:r>
        <w:rPr>
          <w:rFonts w:ascii="Courier New" w:cs="Courier New" w:eastAsia="Courier New" w:hAnsi="Courier New"/>
          <w:color w:val="333333"/>
          <w:sz w:val="18"/>
          <w:szCs w:val="18"/>
        </w:rPr>
        <w:t xml:space="preserve">  securityTools: string[];     // IDs from coverage-kb.json</w:t>
      </w:r>
    </w:p>
    <w:p>
      <w:pPr>
        <w:spacing w:after="80"/>
        <w:ind w:left="360"/>
      </w:pPr>
      <w:r>
        <w:rPr>
          <w:rFonts w:ascii="Courier New" w:cs="Courier New" w:eastAsia="Courier New" w:hAnsi="Courier New"/>
          <w:color w:val="333333"/>
          <w:sz w:val="18"/>
          <w:szCs w:val="18"/>
        </w:rPr>
        <w:t xml:space="preserve">  threatActors?: string[];     // STIX intrusion-set IDs</w:t>
      </w:r>
    </w:p>
    <w:p>
      <w:pPr>
        <w:spacing w:after="80"/>
        <w:ind w:left="360"/>
      </w:pPr>
      <w:r>
        <w:rPr>
          <w:rFonts w:ascii="Courier New" w:cs="Courier New" w:eastAsia="Courier New" w:hAnsi="Courier New"/>
          <w:color w:val="333333"/>
          <w:sz w:val="18"/>
          <w:szCs w:val="18"/>
        </w:rPr>
        <w:t xml:space="preserve">  threatConcerns?: string[];   // incident type tags</w:t>
      </w:r>
    </w:p>
    <w:p>
      <w:pPr>
        <w:spacing w:after="80"/>
        <w:ind w:left="360"/>
      </w:pPr>
      <w:r>
        <w:rPr>
          <w:rFonts w:ascii="Courier New" w:cs="Courier New" w:eastAsia="Courier New" w:hAnsi="Courier New"/>
          <w:color w:val="333333"/>
          <w:sz w:val="18"/>
          <w:szCs w:val="18"/>
        </w:rPr>
        <w:t xml:space="preserve">}</w:t>
      </w:r>
    </w:p>
    <w:p>
      <w:pPr>
        <w:spacing w:after="80"/>
        <w:ind w:left="360"/>
      </w:pPr>
      <w:r>
        <w:rPr>
          <w:rFonts w:ascii="Courier New" w:cs="Courier New" w:eastAsia="Courier New" w:hAnsi="Courier New"/>
          <w:color w:val="333333"/>
          <w:sz w:val="18"/>
          <w:szCs w:val="18"/>
        </w:rPr>
        <w:t xml:space="preserve"/>
      </w:r>
    </w:p>
    <w:p>
      <w:pPr>
        <w:spacing w:after="80"/>
        <w:ind w:left="360"/>
      </w:pPr>
      <w:r>
        <w:rPr>
          <w:rFonts w:ascii="Courier New" w:cs="Courier New" w:eastAsia="Courier New" w:hAnsi="Courier New"/>
          <w:color w:val="333333"/>
          <w:sz w:val="18"/>
          <w:szCs w:val="18"/>
        </w:rPr>
        <w:t xml:space="preserve">interface TechniqueExposure {</w:t>
      </w:r>
    </w:p>
    <w:p>
      <w:pPr>
        <w:spacing w:after="80"/>
        <w:ind w:left="360"/>
      </w:pPr>
      <w:r>
        <w:rPr>
          <w:rFonts w:ascii="Courier New" w:cs="Courier New" w:eastAsia="Courier New" w:hAnsi="Courier New"/>
          <w:color w:val="333333"/>
          <w:sz w:val="18"/>
          <w:szCs w:val="18"/>
        </w:rPr>
        <w:t xml:space="preserve">  techniqueId: string;</w:t>
      </w:r>
    </w:p>
    <w:p>
      <w:pPr>
        <w:spacing w:after="80"/>
        <w:ind w:left="360"/>
      </w:pPr>
      <w:r>
        <w:rPr>
          <w:rFonts w:ascii="Courier New" w:cs="Courier New" w:eastAsia="Courier New" w:hAnsi="Courier New"/>
          <w:color w:val="333333"/>
          <w:sz w:val="18"/>
          <w:szCs w:val="18"/>
        </w:rPr>
        <w:t xml:space="preserve">  baseExposure: number;        // 0.0 - 1.0 from infrastructure</w:t>
      </w:r>
    </w:p>
    <w:p>
      <w:pPr>
        <w:spacing w:after="80"/>
        <w:ind w:left="360"/>
      </w:pPr>
      <w:r>
        <w:rPr>
          <w:rFonts w:ascii="Courier New" w:cs="Courier New" w:eastAsia="Courier New" w:hAnsi="Courier New"/>
          <w:color w:val="333333"/>
          <w:sz w:val="18"/>
          <w:szCs w:val="18"/>
        </w:rPr>
        <w:t xml:space="preserve">  coverageReduction: number;   // 0.0 - 1.0 from security tools</w:t>
      </w:r>
    </w:p>
    <w:p>
      <w:pPr>
        <w:spacing w:after="80"/>
        <w:ind w:left="360"/>
      </w:pPr>
      <w:r>
        <w:rPr>
          <w:rFonts w:ascii="Courier New" w:cs="Courier New" w:eastAsia="Courier New" w:hAnsi="Courier New"/>
          <w:color w:val="333333"/>
          <w:sz w:val="18"/>
          <w:szCs w:val="18"/>
        </w:rPr>
        <w:t xml:space="preserve">  actorWeight: number;         // 1.0 - 1.5 multiplier</w:t>
      </w:r>
    </w:p>
    <w:p>
      <w:pPr>
        <w:spacing w:after="80"/>
        <w:ind w:left="360"/>
      </w:pPr>
      <w:r>
        <w:rPr>
          <w:rFonts w:ascii="Courier New" w:cs="Courier New" w:eastAsia="Courier New" w:hAnsi="Courier New"/>
          <w:color w:val="333333"/>
          <w:sz w:val="18"/>
          <w:szCs w:val="18"/>
        </w:rPr>
        <w:t xml:space="preserve">  finalExposure: number;       // computed final score</w:t>
      </w:r>
    </w:p>
    <w:p>
      <w:pPr>
        <w:spacing w:after="80"/>
        <w:ind w:left="360"/>
      </w:pPr>
      <w:r>
        <w:rPr>
          <w:rFonts w:ascii="Courier New" w:cs="Courier New" w:eastAsia="Courier New" w:hAnsi="Courier New"/>
          <w:color w:val="333333"/>
          <w:sz w:val="18"/>
          <w:szCs w:val="18"/>
        </w:rPr>
        <w:t xml:space="preserve">  coverageSources: string[];   // which tools provide coverage</w:t>
      </w:r>
    </w:p>
    <w:p>
      <w:pPr>
        <w:spacing w:after="80"/>
        <w:ind w:left="360"/>
      </w:pPr>
      <w:r>
        <w:rPr>
          <w:rFonts w:ascii="Courier New" w:cs="Courier New" w:eastAsia="Courier New" w:hAnsi="Courier New"/>
          <w:color w:val="333333"/>
          <w:sz w:val="18"/>
          <w:szCs w:val="18"/>
        </w:rPr>
        <w:t xml:space="preserve">}</w:t>
      </w:r>
    </w:p>
    <w:p>
      <w:r>
        <w:br w:type="page"/>
      </w:r>
    </w:p>
    <w:p>
      <w:pPr>
        <w:pStyle w:val="Heading1"/>
        <w:spacing w:before="360" w:after="200"/>
      </w:pPr>
      <w:r>
        <w:rPr>
          <w:rFonts w:ascii="Arial" w:cs="Arial" w:eastAsia="Arial" w:hAnsi="Arial"/>
          <w:b/>
          <w:bCs/>
          <w:color w:val="1F4E79"/>
          <w:sz w:val="32"/>
          <w:szCs w:val="32"/>
        </w:rPr>
        <w:t xml:space="preserve">5. ATT&amp;CK Navigator Layer Export</w:t>
      </w:r>
    </w:p>
    <w:p>
      <w:pPr>
        <w:spacing w:after="120"/>
      </w:pPr>
      <w:r>
        <w:rPr>
          <w:rFonts w:ascii="Arial" w:cs="Arial" w:eastAsia="Arial" w:hAnsi="Arial"/>
          <w:sz w:val="20"/>
          <w:szCs w:val="20"/>
        </w:rPr>
        <w:t xml:space="preserve">Generate ATT&amp;CK Navigator v4.5 layer JSON so users can import their coverage map into the standard MITRE Navigator tool. This is a powerful interoperability feature — it means your app's analysis integrates with every other ATT&amp;CK-aware tool in the user's workflow.</w:t>
      </w:r>
    </w:p>
    <w:p>
      <w:pPr>
        <w:pStyle w:val="Heading2"/>
        <w:spacing w:before="280" w:after="160"/>
      </w:pPr>
      <w:r>
        <w:rPr>
          <w:rFonts w:ascii="Arial" w:cs="Arial" w:eastAsia="Arial" w:hAnsi="Arial"/>
          <w:b/>
          <w:bCs/>
          <w:color w:val="2E75B6"/>
          <w:sz w:val="26"/>
          <w:szCs w:val="26"/>
        </w:rPr>
        <w:t xml:space="preserve">5.1 Export Format</w:t>
      </w:r>
    </w:p>
    <w:p>
      <w:pPr>
        <w:spacing w:after="80"/>
        <w:ind w:left="360"/>
      </w:pPr>
      <w:r>
        <w:rPr>
          <w:rFonts w:ascii="Courier New" w:cs="Courier New" w:eastAsia="Courier New" w:hAnsi="Courier New"/>
          <w:color w:val="333333"/>
          <w:sz w:val="18"/>
          <w:szCs w:val="18"/>
        </w:rPr>
        <w:t xml:space="preserve">{</w:t>
      </w:r>
    </w:p>
    <w:p>
      <w:pPr>
        <w:spacing w:after="80"/>
        <w:ind w:left="360"/>
      </w:pPr>
      <w:r>
        <w:rPr>
          <w:rFonts w:ascii="Courier New" w:cs="Courier New" w:eastAsia="Courier New" w:hAnsi="Courier New"/>
          <w:color w:val="333333"/>
          <w:sz w:val="18"/>
          <w:szCs w:val="18"/>
        </w:rPr>
        <w:t xml:space="preserve">  "name": "Coverage Analysis - [Org Name] - [Date]",</w:t>
      </w:r>
    </w:p>
    <w:p>
      <w:pPr>
        <w:spacing w:after="80"/>
        <w:ind w:left="360"/>
      </w:pPr>
      <w:r>
        <w:rPr>
          <w:rFonts w:ascii="Courier New" w:cs="Courier New" w:eastAsia="Courier New" w:hAnsi="Courier New"/>
          <w:color w:val="333333"/>
          <w:sz w:val="18"/>
          <w:szCs w:val="18"/>
        </w:rPr>
        <w:t xml:space="preserve">  "versions": { "attack": "16", "navigator": "5.1.0", "layer": "4.5" },</w:t>
      </w:r>
    </w:p>
    <w:p>
      <w:pPr>
        <w:spacing w:after="80"/>
        <w:ind w:left="360"/>
      </w:pPr>
      <w:r>
        <w:rPr>
          <w:rFonts w:ascii="Courier New" w:cs="Courier New" w:eastAsia="Courier New" w:hAnsi="Courier New"/>
          <w:color w:val="333333"/>
          <w:sz w:val="18"/>
          <w:szCs w:val="18"/>
        </w:rPr>
        <w:t xml:space="preserve">  "domain": "enterprise-attack",</w:t>
      </w:r>
    </w:p>
    <w:p>
      <w:pPr>
        <w:spacing w:after="80"/>
        <w:ind w:left="360"/>
      </w:pPr>
      <w:r>
        <w:rPr>
          <w:rFonts w:ascii="Courier New" w:cs="Courier New" w:eastAsia="Courier New" w:hAnsi="Courier New"/>
          <w:color w:val="333333"/>
          <w:sz w:val="18"/>
          <w:szCs w:val="18"/>
        </w:rPr>
        <w:t xml:space="preserve">  "description": "Generated by ATT&amp;CK Graph Optimizer",</w:t>
      </w:r>
    </w:p>
    <w:p>
      <w:pPr>
        <w:spacing w:after="80"/>
        <w:ind w:left="360"/>
      </w:pPr>
      <w:r>
        <w:rPr>
          <w:rFonts w:ascii="Courier New" w:cs="Courier New" w:eastAsia="Courier New" w:hAnsi="Courier New"/>
          <w:color w:val="333333"/>
          <w:sz w:val="18"/>
          <w:szCs w:val="18"/>
        </w:rPr>
        <w:t xml:space="preserve">  "techniques": [</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"techniqueID": "T1059.001",</w:t>
      </w:r>
    </w:p>
    <w:p>
      <w:pPr>
        <w:spacing w:after="80"/>
        <w:ind w:left="360"/>
      </w:pPr>
      <w:r>
        <w:rPr>
          <w:rFonts w:ascii="Courier New" w:cs="Courier New" w:eastAsia="Courier New" w:hAnsi="Courier New"/>
          <w:color w:val="333333"/>
          <w:sz w:val="18"/>
          <w:szCs w:val="18"/>
        </w:rPr>
        <w:t xml:space="preserve">      "score": 15,          // exposure * 100, integer</w:t>
      </w:r>
    </w:p>
    <w:p>
      <w:pPr>
        <w:spacing w:after="80"/>
        <w:ind w:left="360"/>
      </w:pPr>
      <w:r>
        <w:rPr>
          <w:rFonts w:ascii="Courier New" w:cs="Courier New" w:eastAsia="Courier New" w:hAnsi="Courier New"/>
          <w:color w:val="333333"/>
          <w:sz w:val="18"/>
          <w:szCs w:val="18"/>
        </w:rPr>
        <w:t xml:space="preserve">      "color": "#4CAF50",  // green=covered, yellow=partial, red=exposed</w:t>
      </w:r>
    </w:p>
    <w:p>
      <w:pPr>
        <w:spacing w:after="80"/>
        <w:ind w:left="360"/>
      </w:pPr>
      <w:r>
        <w:rPr>
          <w:rFonts w:ascii="Courier New" w:cs="Courier New" w:eastAsia="Courier New" w:hAnsi="Courier New"/>
          <w:color w:val="333333"/>
          <w:sz w:val="18"/>
          <w:szCs w:val="18"/>
        </w:rPr>
        <w:t xml:space="preserve">      "comment": "Covered by: CrowdStrike Falcon (0.9), Splunk (0.7)"</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  "gradient": {</w:t>
      </w:r>
    </w:p>
    <w:p>
      <w:pPr>
        <w:spacing w:after="80"/>
        <w:ind w:left="360"/>
      </w:pPr>
      <w:r>
        <w:rPr>
          <w:rFonts w:ascii="Courier New" w:cs="Courier New" w:eastAsia="Courier New" w:hAnsi="Courier New"/>
          <w:color w:val="333333"/>
          <w:sz w:val="18"/>
          <w:szCs w:val="18"/>
        </w:rPr>
        <w:t xml:space="preserve">    "colors": ["#4CAF50", "#FFC107", "#F44336"],</w:t>
      </w:r>
    </w:p>
    <w:p>
      <w:pPr>
        <w:spacing w:after="80"/>
        <w:ind w:left="360"/>
      </w:pPr>
      <w:r>
        <w:rPr>
          <w:rFonts w:ascii="Courier New" w:cs="Courier New" w:eastAsia="Courier New" w:hAnsi="Courier New"/>
          <w:color w:val="333333"/>
          <w:sz w:val="18"/>
          <w:szCs w:val="18"/>
        </w:rPr>
        <w:t xml:space="preserve">    "minValue": 0,</w:t>
      </w:r>
    </w:p>
    <w:p>
      <w:pPr>
        <w:spacing w:after="80"/>
        <w:ind w:left="360"/>
      </w:pPr>
      <w:r>
        <w:rPr>
          <w:rFonts w:ascii="Courier New" w:cs="Courier New" w:eastAsia="Courier New" w:hAnsi="Courier New"/>
          <w:color w:val="333333"/>
          <w:sz w:val="18"/>
          <w:szCs w:val="18"/>
        </w:rPr>
        <w:t xml:space="preserve">    "maxValue": 100</w:t>
      </w:r>
    </w:p>
    <w:p>
      <w:pPr>
        <w:spacing w:after="80"/>
        <w:ind w:left="360"/>
      </w:pPr>
      <w:r>
        <w:rPr>
          <w:rFonts w:ascii="Courier New" w:cs="Courier New" w:eastAsia="Courier New" w:hAnsi="Courier New"/>
          <w:color w:val="333333"/>
          <w:sz w:val="18"/>
          <w:szCs w:val="18"/>
        </w:rPr>
        <w:t xml:space="preserve">  }</w:t>
      </w:r>
    </w:p>
    <w:p>
      <w:pPr>
        <w:spacing w:after="80"/>
        <w:ind w:left="360"/>
      </w:pPr>
      <w:r>
        <w:rPr>
          <w:rFonts w:ascii="Courier New" w:cs="Courier New" w:eastAsia="Courier New" w:hAnsi="Courier New"/>
          <w:color w:val="333333"/>
          <w:sz w:val="18"/>
          <w:szCs w:val="18"/>
        </w:rPr>
        <w:t xml:space="preserve">}</w:t>
      </w:r>
    </w:p>
    <w:p>
      <w:pPr>
        <w:spacing w:after="120"/>
      </w:pPr>
      <w:r>
        <w:rPr>
          <w:rFonts w:ascii="Arial" w:cs="Arial" w:eastAsia="Arial" w:hAnsi="Arial"/>
          <w:sz w:val="20"/>
          <w:szCs w:val="20"/>
        </w:rPr>
        <w:t xml:space="preserve">Color mapping: exposure 0–30 = green (well-covered), 30–60 = yellow (partial coverage), 60–100 = red (exposed). The comment field lists which tools provide coverage, giving the user actionable context when they view the layer in Navigator.</w:t>
      </w:r>
    </w:p>
    <w:p>
      <w:r>
        <w:br w:type="page"/>
      </w:r>
    </w:p>
    <w:p>
      <w:pPr>
        <w:pStyle w:val="Heading1"/>
        <w:spacing w:before="360" w:after="200"/>
      </w:pPr>
      <w:r>
        <w:rPr>
          <w:rFonts w:ascii="Arial" w:cs="Arial" w:eastAsia="Arial" w:hAnsi="Arial"/>
          <w:b/>
          <w:bCs/>
          <w:color w:val="1F4E79"/>
          <w:sz w:val="32"/>
          <w:szCs w:val="32"/>
        </w:rPr>
        <w:t xml:space="preserve">6. Implementation Sequence for Claude Code</w:t>
      </w:r>
    </w:p>
    <w:p>
      <w:pPr>
        <w:spacing w:after="120"/>
      </w:pPr>
      <w:r>
        <w:rPr>
          <w:rFonts w:ascii="Arial" w:cs="Arial" w:eastAsia="Arial" w:hAnsi="Arial"/>
          <w:sz w:val="20"/>
          <w:szCs w:val="20"/>
        </w:rPr>
        <w:t xml:space="preserve">Build this in four focused sessions. Each session should produce a working, testable increment.</w:t>
      </w:r>
    </w:p>
    <w:p>
      <w:pPr>
        <w:pStyle w:val="Heading2"/>
        <w:spacing w:before="280" w:after="160"/>
      </w:pPr>
      <w:r>
        <w:rPr>
          <w:rFonts w:ascii="Arial" w:cs="Arial" w:eastAsia="Arial" w:hAnsi="Arial"/>
          <w:b/>
          <w:bCs/>
          <w:color w:val="2E75B6"/>
          <w:sz w:val="26"/>
          <w:szCs w:val="26"/>
        </w:rPr>
        <w:t xml:space="preserve">Session 1: Coverage KB Bootstrap + Data Layer (3–4 hours)</w:t>
      </w:r>
    </w:p>
    <w:p>
      <w:pPr>
        <w:pStyle w:val="ListParagraph"/>
        <w:numPr>
          <w:ilvl w:val="0"/>
          <w:numId w:val="3"/>
        </w:numPr>
        <w:spacing w:after="60"/>
      </w:pPr>
      <w:r>
        <w:rPr>
          <w:rFonts w:ascii="Arial" w:cs="Arial" w:eastAsia="Arial" w:hAnsi="Arial"/>
          <w:sz w:val="20"/>
          <w:szCs w:val="20"/>
        </w:rPr>
        <w:t xml:space="preserve">Create the coverage-kb.json schema and TypeScript types.</w:t>
      </w:r>
    </w:p>
    <w:p>
      <w:pPr>
        <w:pStyle w:val="ListParagraph"/>
        <w:numPr>
          <w:ilvl w:val="0"/>
          <w:numId w:val="3"/>
        </w:numPr>
        <w:spacing w:after="60"/>
      </w:pPr>
      <w:r>
        <w:rPr>
          <w:rFonts w:ascii="Arial" w:cs="Arial" w:eastAsia="Arial" w:hAnsi="Arial"/>
          <w:sz w:val="20"/>
          <w:szCs w:val="20"/>
        </w:rPr>
        <w:t xml:space="preserve">Write a Python or Node script that parses the SecurityRiskAdvisors/mitreevalsdb SQLite database and outputs coverage-kb.json entries for all vendors in the MITRE Evaluations.</w:t>
      </w:r>
    </w:p>
    <w:p>
      <w:pPr>
        <w:pStyle w:val="ListParagraph"/>
        <w:numPr>
          <w:ilvl w:val="0"/>
          <w:numId w:val="3"/>
        </w:numPr>
        <w:spacing w:after="60"/>
      </w:pPr>
      <w:r>
        <w:rPr>
          <w:rFonts w:ascii="Arial" w:cs="Arial" w:eastAsia="Arial" w:hAnsi="Arial"/>
          <w:sz w:val="20"/>
          <w:szCs w:val="20"/>
        </w:rPr>
        <w:t xml:space="preserve">For EDR vendors not in the evals (Microsoft, SentinelOne, Palo Alto), manually create initial entries from their published Navigator layers or documentation. Aim for 80% coverage of the top-10 EDR products.</w:t>
      </w:r>
    </w:p>
    <w:p>
      <w:pPr>
        <w:pStyle w:val="ListParagraph"/>
        <w:numPr>
          <w:ilvl w:val="0"/>
          <w:numId w:val="3"/>
        </w:numPr>
        <w:spacing w:after="60"/>
      </w:pPr>
      <w:r>
        <w:rPr>
          <w:rFonts w:ascii="Arial" w:cs="Arial" w:eastAsia="Arial" w:hAnsi="Arial"/>
          <w:sz w:val="20"/>
          <w:szCs w:val="20"/>
        </w:rPr>
        <w:t xml:space="preserve">Create the infrastructure exposure mappings for: Active Directory, Azure AD, AWS, Azure, GCP, Windows Server, Linux. Focus on the highest-impact techniques per platform (e.g., AD → T1558 Kerberoasting, T1003 Credential Dumping, T1484 Group Policy Modification).</w:t>
      </w:r>
    </w:p>
    <w:p>
      <w:pPr>
        <w:pStyle w:val="ListParagraph"/>
        <w:numPr>
          <w:ilvl w:val="0"/>
          <w:numId w:val="3"/>
        </w:numPr>
        <w:spacing w:after="60"/>
      </w:pPr>
      <w:r>
        <w:rPr>
          <w:rFonts w:ascii="Arial" w:cs="Arial" w:eastAsia="Arial" w:hAnsi="Arial"/>
          <w:sz w:val="20"/>
          <w:szCs w:val="20"/>
        </w:rPr>
        <w:t xml:space="preserve">Write unit tests: given a known tool entry, verify the per-technique scores parse correctly.</w:t>
      </w:r>
    </w:p>
    <w:p>
      <w:pPr>
        <w:pStyle w:val="Heading2"/>
        <w:spacing w:before="280" w:after="160"/>
      </w:pPr>
      <w:r>
        <w:rPr>
          <w:rFonts w:ascii="Arial" w:cs="Arial" w:eastAsia="Arial" w:hAnsi="Arial"/>
          <w:b/>
          <w:bCs/>
          <w:color w:val="2E75B6"/>
          <w:sz w:val="26"/>
          <w:szCs w:val="26"/>
        </w:rPr>
        <w:t xml:space="preserve">Session 2: Exposure Weighting Engine (2–3 hours)</w:t>
      </w:r>
    </w:p>
    <w:p>
      <w:pPr>
        <w:pStyle w:val="ListParagraph"/>
        <w:numPr>
          <w:ilvl w:val="0"/>
          <w:numId w:val="3"/>
        </w:numPr>
        <w:spacing w:after="60"/>
      </w:pPr>
      <w:r>
        <w:rPr>
          <w:rFonts w:ascii="Arial" w:cs="Arial" w:eastAsia="Arial" w:hAnsi="Arial"/>
          <w:sz w:val="20"/>
          <w:szCs w:val="20"/>
        </w:rPr>
        <w:t xml:space="preserve">Implement the ExposureEngine class/module with the three-step algorithm described in Section 4.</w:t>
      </w:r>
    </w:p>
    <w:p>
      <w:pPr>
        <w:pStyle w:val="ListParagraph"/>
        <w:numPr>
          <w:ilvl w:val="0"/>
          <w:numId w:val="3"/>
        </w:numPr>
        <w:spacing w:after="60"/>
      </w:pPr>
      <w:r>
        <w:rPr>
          <w:rFonts w:ascii="Arial" w:cs="Arial" w:eastAsia="Arial" w:hAnsi="Arial"/>
          <w:sz w:val="20"/>
          <w:szCs w:val="20"/>
        </w:rPr>
        <w:t xml:space="preserve">Input: EnvironmentProfile + CoverageKB. Output: Map&lt;string, TechniqueExposure&gt;.</w:t>
      </w:r>
    </w:p>
    <w:p>
      <w:pPr>
        <w:pStyle w:val="ListParagraph"/>
        <w:numPr>
          <w:ilvl w:val="0"/>
          <w:numId w:val="3"/>
        </w:numPr>
        <w:spacing w:after="60"/>
      </w:pPr>
      <w:r>
        <w:rPr>
          <w:rFonts w:ascii="Arial" w:cs="Arial" w:eastAsia="Arial" w:hAnsi="Arial"/>
          <w:sz w:val="20"/>
          <w:szCs w:val="20"/>
        </w:rPr>
        <w:t xml:space="preserve">Implement the complementary product formula for multi-tool coverage.</w:t>
      </w:r>
    </w:p>
    <w:p>
      <w:pPr>
        <w:pStyle w:val="ListParagraph"/>
        <w:numPr>
          <w:ilvl w:val="0"/>
          <w:numId w:val="3"/>
        </w:numPr>
        <w:spacing w:after="60"/>
      </w:pPr>
      <w:r>
        <w:rPr>
          <w:rFonts w:ascii="Arial" w:cs="Arial" w:eastAsia="Arial" w:hAnsi="Arial"/>
          <w:sz w:val="20"/>
          <w:szCs w:val="20"/>
        </w:rPr>
        <w:t xml:space="preserve">Implement the threat actor overlay multiplier.</w:t>
      </w:r>
    </w:p>
    <w:p>
      <w:pPr>
        <w:pStyle w:val="ListParagraph"/>
        <w:numPr>
          <w:ilvl w:val="0"/>
          <w:numId w:val="3"/>
        </w:numPr>
        <w:spacing w:after="60"/>
      </w:pPr>
      <w:r>
        <w:rPr>
          <w:rFonts w:ascii="Arial" w:cs="Arial" w:eastAsia="Arial" w:hAnsi="Arial"/>
          <w:sz w:val="20"/>
          <w:szCs w:val="20"/>
        </w:rPr>
        <w:t xml:space="preserve">Wire the engine output into the existing graph model, replacing baseCriticality values.</w:t>
      </w:r>
    </w:p>
    <w:p>
      <w:pPr>
        <w:pStyle w:val="ListParagraph"/>
        <w:numPr>
          <w:ilvl w:val="0"/>
          <w:numId w:val="3"/>
        </w:numPr>
        <w:spacing w:after="60"/>
      </w:pPr>
      <w:r>
        <w:rPr>
          <w:rFonts w:ascii="Arial" w:cs="Arial" w:eastAsia="Arial" w:hAnsi="Arial"/>
          <w:sz w:val="20"/>
          <w:szCs w:val="20"/>
        </w:rPr>
        <w:t xml:space="preserve">Write integration tests: given a profile with CrowdStrike + Splunk + Active Directory, verify that AD-specific techniques show high base exposure, CrowdStrike-covered techniques show low final exposure, and uncovered techniques show high final exposure.</w:t>
      </w:r>
    </w:p>
    <w:p>
      <w:pPr>
        <w:pStyle w:val="Heading2"/>
        <w:spacing w:before="280" w:after="160"/>
      </w:pPr>
      <w:r>
        <w:rPr>
          <w:rFonts w:ascii="Arial" w:cs="Arial" w:eastAsia="Arial" w:hAnsi="Arial"/>
          <w:b/>
          <w:bCs/>
          <w:color w:val="2E75B6"/>
          <w:sz w:val="26"/>
          <w:szCs w:val="26"/>
        </w:rPr>
        <w:t xml:space="preserve">Session 3: Profile Wizard UI (3–4 hours)</w:t>
      </w:r>
    </w:p>
    <w:p>
      <w:pPr>
        <w:pStyle w:val="ListParagraph"/>
        <w:numPr>
          <w:ilvl w:val="0"/>
          <w:numId w:val="3"/>
        </w:numPr>
        <w:spacing w:after="60"/>
      </w:pPr>
      <w:r>
        <w:rPr>
          <w:rFonts w:ascii="Arial" w:cs="Arial" w:eastAsia="Arial" w:hAnsi="Arial"/>
          <w:sz w:val="20"/>
          <w:szCs w:val="20"/>
        </w:rPr>
        <w:t xml:space="preserve">Build the 5-step wizard component using shadcn/ui Dialog, Select, and Combobox patterns.</w:t>
      </w:r>
    </w:p>
    <w:p>
      <w:pPr>
        <w:pStyle w:val="ListParagraph"/>
        <w:numPr>
          <w:ilvl w:val="0"/>
          <w:numId w:val="3"/>
        </w:numPr>
        <w:spacing w:after="60"/>
      </w:pPr>
      <w:r>
        <w:rPr>
          <w:rFonts w:ascii="Arial" w:cs="Arial" w:eastAsia="Arial" w:hAnsi="Arial"/>
          <w:sz w:val="20"/>
          <w:szCs w:val="20"/>
        </w:rPr>
        <w:t xml:space="preserve">Implement the searchable multi-select for security tools (this is the most UX-critical element).</w:t>
      </w:r>
    </w:p>
    <w:p>
      <w:pPr>
        <w:pStyle w:val="ListParagraph"/>
        <w:numPr>
          <w:ilvl w:val="0"/>
          <w:numId w:val="3"/>
        </w:numPr>
        <w:spacing w:after="60"/>
      </w:pPr>
      <w:r>
        <w:rPr>
          <w:rFonts w:ascii="Arial" w:cs="Arial" w:eastAsia="Arial" w:hAnsi="Arial"/>
          <w:sz w:val="20"/>
          <w:szCs w:val="20"/>
        </w:rPr>
        <w:t xml:space="preserve">Wire wizard completion to the ExposureEngine, updating the graph visualization.</w:t>
      </w:r>
    </w:p>
    <w:p>
      <w:pPr>
        <w:pStyle w:val="ListParagraph"/>
        <w:numPr>
          <w:ilvl w:val="0"/>
          <w:numId w:val="3"/>
        </w:numPr>
        <w:spacing w:after="60"/>
      </w:pPr>
      <w:r>
        <w:rPr>
          <w:rFonts w:ascii="Arial" w:cs="Arial" w:eastAsia="Arial" w:hAnsi="Arial"/>
          <w:sz w:val="20"/>
          <w:szCs w:val="20"/>
        </w:rPr>
        <w:t xml:space="preserve">Add visual indicators on the graph: covered nodes get a green ring, partially covered get yellow, exposed get red. This should be immediately visible without clicking anything.</w:t>
      </w:r>
    </w:p>
    <w:p>
      <w:pPr>
        <w:pStyle w:val="ListParagraph"/>
        <w:numPr>
          <w:ilvl w:val="0"/>
          <w:numId w:val="3"/>
        </w:numPr>
        <w:spacing w:after="60"/>
      </w:pPr>
      <w:r>
        <w:rPr>
          <w:rFonts w:ascii="Arial" w:cs="Arial" w:eastAsia="Arial" w:hAnsi="Arial"/>
          <w:sz w:val="20"/>
          <w:szCs w:val="20"/>
        </w:rPr>
        <w:t xml:space="preserve">Persist the profile to localStorage so it survives page refreshes.</w:t>
      </w:r>
    </w:p>
    <w:p>
      <w:pPr>
        <w:pStyle w:val="ListParagraph"/>
        <w:numPr>
          <w:ilvl w:val="0"/>
          <w:numId w:val="3"/>
        </w:numPr>
        <w:spacing w:after="60"/>
      </w:pPr>
      <w:r>
        <w:rPr>
          <w:rFonts w:ascii="Arial" w:cs="Arial" w:eastAsia="Arial" w:hAnsi="Arial"/>
          <w:sz w:val="20"/>
          <w:szCs w:val="20"/>
        </w:rPr>
        <w:t xml:space="preserve">Add an "Edit Profile" button that re-opens the wizard with current selections pre-populated.</w:t>
      </w:r>
    </w:p>
    <w:p>
      <w:pPr>
        <w:pStyle w:val="Heading2"/>
        <w:spacing w:before="280" w:after="160"/>
      </w:pPr>
      <w:r>
        <w:rPr>
          <w:rFonts w:ascii="Arial" w:cs="Arial" w:eastAsia="Arial" w:hAnsi="Arial"/>
          <w:b/>
          <w:bCs/>
          <w:color w:val="2E75B6"/>
          <w:sz w:val="26"/>
          <w:szCs w:val="26"/>
        </w:rPr>
        <w:t xml:space="preserve">Session 4: Export + Polish (2–3 hours)</w:t>
      </w:r>
    </w:p>
    <w:p>
      <w:pPr>
        <w:pStyle w:val="ListParagraph"/>
        <w:numPr>
          <w:ilvl w:val="0"/>
          <w:numId w:val="3"/>
        </w:numPr>
        <w:spacing w:after="60"/>
      </w:pPr>
      <w:r>
        <w:rPr>
          <w:rFonts w:ascii="Arial" w:cs="Arial" w:eastAsia="Arial" w:hAnsi="Arial"/>
          <w:sz w:val="20"/>
          <w:szCs w:val="20"/>
        </w:rPr>
        <w:t xml:space="preserve">Implement the Navigator layer JSON export (Section 5).</w:t>
      </w:r>
    </w:p>
    <w:p>
      <w:pPr>
        <w:pStyle w:val="ListParagraph"/>
        <w:numPr>
          <w:ilvl w:val="0"/>
          <w:numId w:val="3"/>
        </w:numPr>
        <w:spacing w:after="60"/>
      </w:pPr>
      <w:r>
        <w:rPr>
          <w:rFonts w:ascii="Arial" w:cs="Arial" w:eastAsia="Arial" w:hAnsi="Arial"/>
          <w:sz w:val="20"/>
          <w:szCs w:val="20"/>
        </w:rPr>
        <w:t xml:space="preserve">Add a "Download Navigator Layer" button that generates and saves the JSON file.</w:t>
      </w:r>
    </w:p>
    <w:p>
      <w:pPr>
        <w:pStyle w:val="ListParagraph"/>
        <w:numPr>
          <w:ilvl w:val="0"/>
          <w:numId w:val="3"/>
        </w:numPr>
        <w:spacing w:after="60"/>
      </w:pPr>
      <w:r>
        <w:rPr>
          <w:rFonts w:ascii="Arial" w:cs="Arial" w:eastAsia="Arial" w:hAnsi="Arial"/>
          <w:sz w:val="20"/>
          <w:szCs w:val="20"/>
        </w:rPr>
        <w:t xml:space="preserve">Add a CSV export of the technique exposure table (techniqueID, name, baseExposure, coverage, finalExposure, coverageSources).</w:t>
      </w:r>
    </w:p>
    <w:p>
      <w:pPr>
        <w:pStyle w:val="ListParagraph"/>
        <w:numPr>
          <w:ilvl w:val="0"/>
          <w:numId w:val="3"/>
        </w:numPr>
        <w:spacing w:after="60"/>
      </w:pPr>
      <w:r>
        <w:rPr>
          <w:rFonts w:ascii="Arial" w:cs="Arial" w:eastAsia="Arial" w:hAnsi="Arial"/>
          <w:sz w:val="20"/>
          <w:szCs w:val="20"/>
        </w:rPr>
        <w:t xml:space="preserve">Add an "Exposure Summary" panel in the sidebar showing: total techniques exposed at &gt;0.7, total covered at &lt;0.3, overall coverage percentage, top 5 uncovered chokepoints.</w:t>
      </w:r>
    </w:p>
    <w:p>
      <w:pPr>
        <w:pStyle w:val="ListParagraph"/>
        <w:numPr>
          <w:ilvl w:val="0"/>
          <w:numId w:val="3"/>
        </w:numPr>
        <w:spacing w:after="60"/>
      </w:pPr>
      <w:r>
        <w:rPr>
          <w:rFonts w:ascii="Arial" w:cs="Arial" w:eastAsia="Arial" w:hAnsi="Arial"/>
          <w:sz w:val="20"/>
          <w:szCs w:val="20"/>
        </w:rPr>
        <w:t xml:space="preserve">Visual polish pass: ensure the wizard is responsive, the graph colors are colorblind-friendly (use patterns in addition to colors), and loading states are smooth.</w:t>
      </w:r>
    </w:p>
    <w:p>
      <w:r>
        <w:br w:type="page"/>
      </w:r>
    </w:p>
    <w:p>
      <w:pPr>
        <w:pStyle w:val="Heading1"/>
        <w:spacing w:before="360" w:after="200"/>
      </w:pPr>
      <w:r>
        <w:rPr>
          <w:rFonts w:ascii="Arial" w:cs="Arial" w:eastAsia="Arial" w:hAnsi="Arial"/>
          <w:b/>
          <w:bCs/>
          <w:color w:val="1F4E79"/>
          <w:sz w:val="32"/>
          <w:szCs w:val="32"/>
        </w:rPr>
        <w:t xml:space="preserve">7. Free vs. Paid Tier Feature Split</w:t>
      </w:r>
    </w:p>
    <w:p>
      <w:pPr>
        <w:spacing w:after="120"/>
      </w:pPr>
      <w:r>
        <w:rPr>
          <w:rFonts w:ascii="Arial" w:cs="Arial" w:eastAsia="Arial" w:hAnsi="Arial"/>
          <w:sz w:val="20"/>
          <w:szCs w:val="20"/>
        </w:rPr>
        <w:t xml:space="preserve">This is where the SaaS revenue model lives. The environment profiling is specifically what justifies a paid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Free Tier</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Paid Tier ($49–99/mo)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Graph visualization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ATT&amp;CK graph with centrality analysis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Environment profiling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Select up to 3 tools, 2 infrastructure items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Unlimited tools and infrastructure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Coverage analysis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Top 5 exposed techniques shown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technique-level exposure breakdown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Navigator layer export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available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v4.5 JSON export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CSV/PDF export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available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data export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AI-generated executive report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available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Claude API generates board-ready 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Threat actor overlay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Select 1 actor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Unlimited actors, custom actor profiles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Saved profiles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profile, no history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Unlimited profiles, historical comparison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Compliance gap mapping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available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Map coverage gaps to NIST CSF / CMMC / etc.</w:t>
            </w:r>
          </w:p>
        </w:tc>
      </w:tr>
    </w:tbl>
    <w:p>
      <w:pPr>
        <w:spacing w:after="120"/>
      </w:pPr>
      <w:r>
        <w:rPr>
          <w:rFonts w:ascii="Arial" w:cs="Arial" w:eastAsia="Arial" w:hAnsi="Arial"/>
          <w:sz w:val="20"/>
          <w:szCs w:val="20"/>
        </w:rPr>
        <w:t xml:space="preserve">The free tier is generous enough to demonstrate clear value. The gate to paid is depth of analysis and export capability — exactly the features that an organization needs for budget justification, which is the whole point of the tool.</w:t>
      </w:r>
    </w:p>
    <w:p>
      <w:r>
        <w:br w:type="page"/>
      </w:r>
    </w:p>
    <w:p>
      <w:pPr>
        <w:pStyle w:val="Heading1"/>
        <w:spacing w:before="360" w:after="200"/>
      </w:pPr>
      <w:r>
        <w:rPr>
          <w:rFonts w:ascii="Arial" w:cs="Arial" w:eastAsia="Arial" w:hAnsi="Arial"/>
          <w:b/>
          <w:bCs/>
          <w:color w:val="1F4E79"/>
          <w:sz w:val="32"/>
          <w:szCs w:val="32"/>
        </w:rPr>
        <w:t xml:space="preserve">8. Testing Strategy</w:t>
      </w:r>
    </w:p>
    <w:p>
      <w:pPr>
        <w:pStyle w:val="Heading2"/>
        <w:spacing w:before="280" w:after="160"/>
      </w:pPr>
      <w:r>
        <w:rPr>
          <w:rFonts w:ascii="Arial" w:cs="Arial" w:eastAsia="Arial" w:hAnsi="Arial"/>
          <w:b/>
          <w:bCs/>
          <w:color w:val="2E75B6"/>
          <w:sz w:val="26"/>
          <w:szCs w:val="26"/>
        </w:rPr>
        <w:t xml:space="preserve">8.1 Validation Scenarios</w:t>
      </w:r>
    </w:p>
    <w:p>
      <w:pPr>
        <w:spacing w:after="120"/>
      </w:pPr>
      <w:r>
        <w:rPr>
          <w:rFonts w:ascii="Arial" w:cs="Arial" w:eastAsia="Arial" w:hAnsi="Arial"/>
          <w:sz w:val="20"/>
          <w:szCs w:val="20"/>
        </w:rPr>
        <w:t xml:space="preserve">Create these test profiles to validate the engine produces reasonable, defensible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Profile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Expected Outcome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Well-defended enterprise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CrowdStrike + Splunk + Palo Alto NGFW + Proofpoint + AD + Azure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 overall exposure (&lt;30%). Few critical gaps. Chokepoints shift to less-common techniques.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SMB with basic tooling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Microsoft Defender + no SIEM + AD + Windows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Moderate exposure (40–60%). Heavy exposure in lateral movement and credential access. Clear investment recommendations.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Cloud-first, no EDR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AWS + Azure AD + Okta + no EDR + Elastic SIEM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 endpoint technique exposure. Cloud techniques well-covered. Recommends EDR as top priority.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Government SOC (your setup)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Cortex XDR + ThreatLocker + Arctic Wolf + Tenable + AD + Windows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Should roughly match your intuition about Fargo's coverage gaps. This is your ground-truth validation.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Empty profile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tools, no infrastructure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techniques at base exposure. Graph shows pure structural centrality. Should match current behavior.</w:t>
            </w:r>
          </w:p>
        </w:tc>
      </w:tr>
    </w:tbl>
    <w:p>
      <w:pPr>
        <w:spacing w:after="120"/>
      </w:pPr>
      <w:r>
        <w:rPr>
          <w:rFonts w:ascii="Arial" w:cs="Arial" w:eastAsia="Arial" w:hAnsi="Arial"/>
          <w:sz w:val="20"/>
          <w:szCs w:val="20"/>
        </w:rPr>
        <w:t xml:space="preserve">The government SOC scenario is your ace: you know your own environment's coverage gaps intimately. If the tool's output doesn't match your professional intuition, the weighting model needs calibration.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ATT&amp;CK Graph Optimizer — Phase 3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2026-03-10T20:38:50.040Z</dcterms:created>
  <dcterms:modified xsi:type="dcterms:W3CDTF">2026-03-10T20:38:50.041Z</dcterms:modified>
</cp:coreProperties>
</file>

<file path=docProps/custom.xml><?xml version="1.0" encoding="utf-8"?>
<Properties xmlns="http://schemas.openxmlformats.org/officeDocument/2006/custom-properties" xmlns:vt="http://schemas.openxmlformats.org/officeDocument/2006/docPropsVTypes"/>
</file>