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F46E5"/>
          <w:sz w:val="44"/>
        </w:rPr>
        <w:t>Data Processing Agreement (DPA) — Template</w:t>
      </w:r>
    </w:p>
    <w:p>
      <w:pPr>
        <w:ind w:left="432"/>
        <w:pBdr>
          <w:left w:val="single" w:sz="18" w:space="8" w:color="4F46E5"/>
        </w:pBdr>
      </w:pPr>
      <w:r>
        <w:rPr>
          <w:b/>
          <w:i/>
          <w:color w:val="6B7280"/>
        </w:rPr>
        <w:t>Template / not legal advice.</w:t>
      </w:r>
      <w:r>
        <w:rPr>
          <w:i/>
          <w:color w:val="6B7280"/>
        </w:rPr>
        <w:t xml:space="preserve"> This is a starting draft to be reviewed and finalized by qualified legal counsel before use. Bracketed </w:t>
      </w:r>
      <w:r>
        <w:rPr>
          <w:rFonts w:ascii="Consolas" w:hAnsi="Consolas"/>
          <w:i/>
          <w:color w:val="4F46E5"/>
          <w:sz w:val="19"/>
        </w:rPr>
        <w:t>[…]</w:t>
      </w:r>
      <w:r>
        <w:rPr>
          <w:i/>
          <w:color w:val="6B7280"/>
        </w:rPr>
        <w:t xml:space="preserve"> fields must be completed. This DPA is offered to every school customer and forms part of the agreement between the School and Spoken Edge.</w:t>
      </w:r>
    </w:p>
    <w:p>
      <w:r>
        <w:rPr>
          <w:b/>
        </w:rPr>
        <w:t>Between:</w:t>
      </w:r>
    </w:p>
    <w:p>
      <w:pPr>
        <w:pStyle w:val="ListBullet"/>
      </w:pPr>
      <w:r>
        <w:rPr>
          <w:b/>
        </w:rPr>
        <w:t>`[School / District legal name]`</w:t>
      </w:r>
      <w:r>
        <w:t xml:space="preserve"> ("</w:t>
      </w:r>
      <w:r>
        <w:rPr>
          <w:b/>
        </w:rPr>
        <w:t>Customer</w:t>
      </w:r>
      <w:r>
        <w:t>" / "</w:t>
      </w:r>
      <w:r>
        <w:rPr>
          <w:b/>
        </w:rPr>
        <w:t>Controller</w:t>
      </w:r>
      <w:r>
        <w:t>"), and</w:t>
      </w:r>
    </w:p>
    <w:p>
      <w:pPr>
        <w:pStyle w:val="ListBullet"/>
      </w:pPr>
      <w:r>
        <w:rPr>
          <w:b/>
        </w:rPr>
        <w:t>`[Spoken Edge legal entity name]`</w:t>
      </w:r>
      <w:r>
        <w:t xml:space="preserve"> ("</w:t>
      </w:r>
      <w:r>
        <w:rPr>
          <w:b/>
        </w:rPr>
        <w:t>Processor</w:t>
      </w:r>
      <w:r>
        <w:t>" / "</w:t>
      </w:r>
      <w:r>
        <w:rPr>
          <w:b/>
        </w:rPr>
        <w:t>Provider</w:t>
      </w:r>
      <w:r>
        <w:t>").</w:t>
      </w:r>
    </w:p>
    <w:p>
      <w:r>
        <w:t xml:space="preserve">Effective date: </w:t>
      </w:r>
      <w:r>
        <w:rPr>
          <w:rFonts w:ascii="Consolas" w:hAnsi="Consolas"/>
          <w:color w:val="4F46E5"/>
          <w:sz w:val="19"/>
        </w:rPr>
        <w:t>[date]</w:t>
      </w:r>
    </w:p>
    <w:p>
      <w:pPr>
        <w:pBdr>
          <w:bottom w:val="single" w:sz="6" w:space="1" w:color="D1D5DB"/>
        </w:pBdr>
      </w:pPr>
    </w:p>
    <w:p>
      <w:pPr>
        <w:pStyle w:val="Heading1"/>
      </w:pPr>
      <w:r>
        <w:rPr>
          <w:color w:val="1F2937"/>
        </w:rPr>
        <w:t>1. Definitions</w:t>
      </w:r>
    </w:p>
    <w:p>
      <w:r>
        <w:t xml:space="preserve">Terms such as "personal data," "processing," "controller," "processor," "data subject," and "sub-processor" have the meanings given in </w:t>
      </w:r>
      <w:r>
        <w:rPr>
          <w:b/>
        </w:rPr>
        <w:t>GDPR</w:t>
      </w:r>
      <w:r>
        <w:t xml:space="preserve"> (and equivalents under </w:t>
      </w:r>
      <w:r>
        <w:rPr>
          <w:b/>
        </w:rPr>
        <w:t>FERPA</w:t>
      </w:r>
      <w:r>
        <w:t xml:space="preserve">, </w:t>
      </w:r>
      <w:r>
        <w:rPr>
          <w:b/>
        </w:rPr>
        <w:t>COPPA</w:t>
      </w:r>
      <w:r>
        <w:t xml:space="preserve">, and </w:t>
      </w:r>
      <w:r>
        <w:rPr>
          <w:b/>
        </w:rPr>
        <w:t>CCPA/CPRA</w:t>
      </w:r>
      <w:r>
        <w:t xml:space="preserve"> as applicable). "Education records" has the meaning given in </w:t>
      </w:r>
      <w:r>
        <w:rPr>
          <w:b/>
        </w:rPr>
        <w:t>FERPA (34 CFR Part 99)</w:t>
      </w:r>
      <w:r>
        <w:t>.</w:t>
      </w:r>
    </w:p>
    <w:p>
      <w:pPr>
        <w:pStyle w:val="Heading1"/>
      </w:pPr>
      <w:r>
        <w:rPr>
          <w:color w:val="1F2937"/>
        </w:rPr>
        <w:t>2. Roles</w:t>
      </w:r>
    </w:p>
    <w:p>
      <w:r>
        <w:t xml:space="preserve">The Customer is the </w:t>
      </w:r>
      <w:r>
        <w:rPr>
          <w:b/>
        </w:rPr>
        <w:t>Controller</w:t>
      </w:r>
      <w:r>
        <w:t xml:space="preserve"> (and, under FERPA, the educational institution). Spoken Edge is the </w:t>
      </w:r>
      <w:r>
        <w:rPr>
          <w:b/>
        </w:rPr>
        <w:t>Processor / service provider</w:t>
      </w:r>
      <w:r>
        <w:t xml:space="preserve"> and, under FERPA, acts as a </w:t>
      </w:r>
      <w:r>
        <w:rPr>
          <w:b/>
        </w:rPr>
        <w:t>"school official"</w:t>
      </w:r>
      <w:r>
        <w:t xml:space="preserve"> performing an institutional service under the Customer's direct control. Spoken Edge processes personal data </w:t>
      </w:r>
      <w:r>
        <w:rPr>
          <w:b/>
        </w:rPr>
        <w:t>only on the documented instructions</w:t>
      </w:r>
      <w:r>
        <w:t xml:space="preserve"> of the Customer.</w:t>
      </w:r>
    </w:p>
    <w:p>
      <w:pPr>
        <w:pStyle w:val="Heading1"/>
      </w:pPr>
      <w:r>
        <w:rPr>
          <w:color w:val="1F2937"/>
        </w:rPr>
        <w:t>3. Subject matter &amp; purpose</w:t>
      </w:r>
    </w:p>
    <w:p>
      <w:r>
        <w:t xml:space="preserve">Spoken Edge processes personal data solely to provide the Service: enabling live translated conversations and messaging between teachers and students, account management, usage metering, and billing. </w:t>
      </w:r>
      <w:r>
        <w:rPr>
          <w:b/>
        </w:rPr>
        <w:t>No other use is permitted.</w:t>
      </w:r>
    </w:p>
    <w:p>
      <w:pPr>
        <w:pStyle w:val="Heading1"/>
      </w:pPr>
      <w:r>
        <w:rPr>
          <w:color w:val="1F2937"/>
        </w:rPr>
        <w:t>4. Categories of data &amp; data subjects</w:t>
      </w:r>
    </w:p>
    <w:p>
      <w:pPr>
        <w:pStyle w:val="ListBullet"/>
      </w:pPr>
      <w:r>
        <w:rPr>
          <w:b/>
        </w:rPr>
        <w:t>Data subjects:</w:t>
      </w:r>
      <w:r>
        <w:t xml:space="preserve"> students (including minors), teachers, school administrators.</w:t>
      </w:r>
    </w:p>
    <w:p>
      <w:pPr>
        <w:pStyle w:val="ListBullet"/>
      </w:pPr>
      <w:r>
        <w:rPr>
          <w:b/>
        </w:rPr>
        <w:t>Personal data:</w:t>
      </w:r>
      <w:r>
        <w:t xml:space="preserve"> names, school-issued IDs, grade/level, preferred language, guardian name &amp; contact, email, phone, message content and translated content, transcribed speech, usage metrics, and billing metadata (no card data).</w:t>
      </w:r>
    </w:p>
    <w:p>
      <w:pPr>
        <w:pStyle w:val="Heading1"/>
      </w:pPr>
      <w:r>
        <w:rPr>
          <w:color w:val="1F2937"/>
        </w:rPr>
        <w:t>5. Processor obligations</w:t>
      </w:r>
    </w:p>
    <w:p>
      <w:r>
        <w:t>Spoken Edge shall:</w:t>
      </w:r>
    </w:p>
    <w:p>
      <w:pPr>
        <w:pStyle w:val="ListNumber"/>
      </w:pPr>
      <w:r>
        <w:t>Process personal data only per the Customer's documented instructions.</w:t>
      </w:r>
    </w:p>
    <w:p>
      <w:pPr>
        <w:pStyle w:val="ListNumber"/>
      </w:pPr>
      <w:r>
        <w:rPr>
          <w:b/>
        </w:rPr>
        <w:t>Not</w:t>
      </w:r>
      <w:r>
        <w:t xml:space="preserve"> use personal data for advertising, profiling, model training, or any secondary purpose; </w:t>
      </w:r>
      <w:r>
        <w:rPr>
          <w:b/>
        </w:rPr>
        <w:t>not sell or share</w:t>
      </w:r>
      <w:r>
        <w:t xml:space="preserve"> it (CCPA/CPRA) and </w:t>
      </w:r>
      <w:r>
        <w:rPr>
          <w:b/>
        </w:rPr>
        <w:t>not re-disclose</w:t>
      </w:r>
      <w:r>
        <w:t xml:space="preserve"> it (FERPA).</w:t>
      </w:r>
    </w:p>
    <w:p>
      <w:pPr>
        <w:pStyle w:val="ListNumber"/>
      </w:pPr>
      <w:r>
        <w:t>Ensure personnel are bound by confidentiality.</w:t>
      </w:r>
    </w:p>
    <w:p>
      <w:pPr>
        <w:pStyle w:val="ListNumber"/>
      </w:pPr>
      <w:r>
        <w:t xml:space="preserve">Implement appropriate </w:t>
      </w:r>
      <w:r>
        <w:rPr>
          <w:b/>
        </w:rPr>
        <w:t>technical and organizational security measures</w:t>
      </w:r>
      <w:r>
        <w:t xml:space="preserve"> (see §9).</w:t>
      </w:r>
    </w:p>
    <w:p>
      <w:pPr>
        <w:pStyle w:val="ListNumber"/>
      </w:pPr>
      <w:r>
        <w:t>Assist the Customer with data-subject rights requests and with breach, DPIA, and regulator obligations.</w:t>
      </w:r>
    </w:p>
    <w:p>
      <w:pPr>
        <w:pStyle w:val="ListNumber"/>
      </w:pPr>
      <w:r>
        <w:t>Make available information needed to demonstrate compliance.</w:t>
      </w:r>
    </w:p>
    <w:p>
      <w:pPr>
        <w:pStyle w:val="Heading1"/>
      </w:pPr>
      <w:r>
        <w:rPr>
          <w:color w:val="1F2937"/>
        </w:rPr>
        <w:t>6. COPPA / children's data</w:t>
      </w:r>
    </w:p>
    <w:p>
      <w:r>
        <w:t xml:space="preserve">Where students under 13 (US) or below the applicable GDPR age use the Service, the </w:t>
      </w:r>
      <w:r>
        <w:rPr>
          <w:b/>
        </w:rPr>
        <w:t>Customer obtains and maintains the necessary consent</w:t>
      </w:r>
      <w:r>
        <w:t xml:space="preserve"> (relying on the school-consent exception under COPPA / the controller's lawful basis under GDPR). Spoken Edge collects only data necessary for the educational function (data minimization).</w:t>
      </w:r>
    </w:p>
    <w:p>
      <w:pPr>
        <w:pStyle w:val="Heading1"/>
      </w:pPr>
      <w:r>
        <w:rPr>
          <w:color w:val="1F2937"/>
        </w:rPr>
        <w:t>7. Sub-processors</w:t>
      </w:r>
    </w:p>
    <w:p>
      <w:r>
        <w:t xml:space="preserve">The Customer authorizes the sub-processors listed in </w:t>
      </w:r>
      <w:r>
        <w:rPr>
          <w:b/>
        </w:rPr>
        <w:t>[SUB-PROCESSORS.md](SUB-PROCESSORS.md)</w:t>
      </w:r>
      <w:r>
        <w:t xml:space="preserve">. Spoken Edge will (a) impose data-protection terms on each sub-processor no less protective than this DPA, (b) remain liable for their performance, and (c) give the Customer </w:t>
      </w:r>
      <w:r>
        <w:rPr>
          <w:b/>
        </w:rPr>
        <w:t>prior notice</w:t>
      </w:r>
      <w:r>
        <w:t xml:space="preserve"> of changes with a chance to object.</w:t>
      </w:r>
    </w:p>
    <w:p>
      <w:pPr>
        <w:pStyle w:val="Heading1"/>
      </w:pPr>
      <w:r>
        <w:rPr>
          <w:color w:val="1F2937"/>
        </w:rPr>
        <w:t>8. International transfers</w:t>
      </w:r>
    </w:p>
    <w:p>
      <w:r>
        <w:t xml:space="preserve">Where personal data is transferred outside the EEA/UK, the parties rely on </w:t>
      </w:r>
      <w:r>
        <w:rPr>
          <w:b/>
        </w:rPr>
        <w:t>Standard Contractual Clauses</w:t>
      </w:r>
      <w:r>
        <w:t xml:space="preserve"> (and any required supplementary measures). Hosting region: </w:t>
      </w:r>
      <w:r>
        <w:rPr>
          <w:rFonts w:ascii="Consolas" w:hAnsi="Consolas"/>
          <w:color w:val="4F46E5"/>
          <w:sz w:val="19"/>
        </w:rPr>
        <w:t>[region]</w:t>
      </w:r>
      <w:r>
        <w:t>.</w:t>
      </w:r>
    </w:p>
    <w:p>
      <w:pPr>
        <w:pStyle w:val="Heading1"/>
      </w:pPr>
      <w:r>
        <w:rPr>
          <w:color w:val="1F2937"/>
        </w:rPr>
        <w:t>9. Security measures</w:t>
      </w:r>
    </w:p>
    <w:p>
      <w:r>
        <w:t xml:space="preserve">Including, at minimum: tenant isolation by </w:t>
      </w:r>
      <w:r>
        <w:rPr>
          <w:rFonts w:ascii="Consolas" w:hAnsi="Consolas"/>
          <w:color w:val="4F46E5"/>
          <w:sz w:val="19"/>
        </w:rPr>
        <w:t>school_id</w:t>
      </w:r>
      <w:r>
        <w:t xml:space="preserve"> with per-request authorization; hashed passwords and role-based access control; TLS/HTTPS in transit; encryption at rest for sensitive data; least-privilege credentials and server-side API keys; audit logging of administrative actions; and regular access reviews. (See COMPLIANCE-GUIDE.md §9.)</w:t>
      </w:r>
    </w:p>
    <w:p>
      <w:pPr>
        <w:pStyle w:val="Heading1"/>
      </w:pPr>
      <w:r>
        <w:rPr>
          <w:color w:val="1F2937"/>
        </w:rPr>
        <w:t>10. Personal data breach</w:t>
      </w:r>
    </w:p>
    <w:p>
      <w:r>
        <w:t xml:space="preserve">Spoken Edge will notify the Customer </w:t>
      </w:r>
      <w:r>
        <w:rPr>
          <w:b/>
        </w:rPr>
        <w:t>without undue delay</w:t>
      </w:r>
      <w:r>
        <w:t xml:space="preserve"> after becoming aware of a personal data breach, and in any case in time to support the Customer's </w:t>
      </w:r>
      <w:r>
        <w:rPr>
          <w:b/>
        </w:rPr>
        <w:t>GDPR 72-hour</w:t>
      </w:r>
      <w:r>
        <w:t xml:space="preserve"> regulator-notification obligation, providing the information reasonably required to respond.</w:t>
      </w:r>
    </w:p>
    <w:p>
      <w:pPr>
        <w:pStyle w:val="Heading1"/>
      </w:pPr>
      <w:r>
        <w:rPr>
          <w:color w:val="1F2937"/>
        </w:rPr>
        <w:t>11. Data subject rights</w:t>
      </w:r>
    </w:p>
    <w:p>
      <w:r>
        <w:t xml:space="preserve">Spoken Edge will provide tooling and/or assistance to enable the Customer to fulfill </w:t>
      </w:r>
      <w:r>
        <w:rPr>
          <w:b/>
        </w:rPr>
        <w:t>access, rectification, erasure, restriction, portability, and objection</w:t>
      </w:r>
      <w:r>
        <w:t xml:space="preserve"> requests, including </w:t>
      </w:r>
      <w:r>
        <w:rPr>
          <w:b/>
        </w:rPr>
        <w:t>data export</w:t>
      </w:r>
      <w:r>
        <w:t xml:space="preserve"> and </w:t>
      </w:r>
      <w:r>
        <w:rPr>
          <w:b/>
        </w:rPr>
        <w:t>deletion</w:t>
      </w:r>
      <w:r>
        <w:t xml:space="preserve"> functions.</w:t>
      </w:r>
    </w:p>
    <w:p>
      <w:pPr>
        <w:pStyle w:val="Heading1"/>
      </w:pPr>
      <w:r>
        <w:rPr>
          <w:color w:val="1F2937"/>
        </w:rPr>
        <w:t>12. Return &amp; deletion</w:t>
      </w:r>
    </w:p>
    <w:p>
      <w:r>
        <w:t xml:space="preserve">On termination or expiry, Spoken Edge will, at the Customer's choice, </w:t>
      </w:r>
      <w:r>
        <w:rPr>
          <w:b/>
        </w:rPr>
        <w:t>delete or return</w:t>
      </w:r>
      <w:r>
        <w:t xml:space="preserve"> all personal data within </w:t>
      </w:r>
      <w:r>
        <w:rPr>
          <w:rFonts w:ascii="Consolas" w:hAnsi="Consolas"/>
          <w:color w:val="4F46E5"/>
          <w:sz w:val="19"/>
        </w:rPr>
        <w:t>[e.g., 30/60/90]</w:t>
      </w:r>
      <w:r>
        <w:t xml:space="preserve"> days, except where retention is legally required.</w:t>
      </w:r>
    </w:p>
    <w:p>
      <w:pPr>
        <w:pStyle w:val="Heading1"/>
      </w:pPr>
      <w:r>
        <w:rPr>
          <w:color w:val="1F2937"/>
        </w:rPr>
        <w:t>13. Audit</w:t>
      </w:r>
    </w:p>
    <w:p>
      <w:r>
        <w:t>Spoken Edge will make available compliance information and, subject to reasonable notice and confidentiality, support audits as required by applicable law.</w:t>
      </w:r>
    </w:p>
    <w:p>
      <w:pPr>
        <w:pStyle w:val="Heading1"/>
      </w:pPr>
      <w:r>
        <w:rPr>
          <w:color w:val="1F2937"/>
        </w:rPr>
        <w:t>14. Term</w:t>
      </w:r>
    </w:p>
    <w:p>
      <w:r>
        <w:t>This DPA remains in effect for the duration of the Service agreement and survives until all personal data is deleted or returned.</w:t>
      </w:r>
    </w:p>
    <w:p>
      <w:pPr>
        <w:pBdr>
          <w:bottom w:val="single" w:sz="6" w:space="1" w:color="D1D5DB"/>
        </w:pBdr>
      </w:pPr>
    </w:p>
    <w:p>
      <w:r>
        <w:rPr>
          <w:b/>
        </w:rPr>
        <w:t>Signatures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Customer (Controller)</w:t>
            </w:r>
          </w:p>
        </w:tc>
        <w:tc>
          <w:tcPr>
            <w:tcW w:type="dxa" w:w="432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Provider (Processor)</w:t>
            </w:r>
          </w:p>
        </w:tc>
      </w:tr>
      <w:tr>
        <w:tc>
          <w:tcPr>
            <w:tcW w:type="dxa" w:w="4320"/>
          </w:tcPr>
          <w:p>
            <w:r/>
            <w:r>
              <w:t xml:space="preserve">Name: </w:t>
            </w:r>
            <w:r>
              <w:rPr>
                <w:rFonts w:ascii="Consolas" w:hAnsi="Consolas"/>
                <w:color w:val="4F46E5"/>
                <w:sz w:val="19"/>
              </w:rPr>
              <w:t>[…]</w:t>
            </w:r>
          </w:p>
        </w:tc>
        <w:tc>
          <w:tcPr>
            <w:tcW w:type="dxa" w:w="4320"/>
          </w:tcPr>
          <w:p>
            <w:r/>
            <w:r>
              <w:t xml:space="preserve">Name: </w:t>
            </w:r>
            <w:r>
              <w:rPr>
                <w:rFonts w:ascii="Consolas" w:hAnsi="Consolas"/>
                <w:color w:val="4F46E5"/>
                <w:sz w:val="19"/>
              </w:rPr>
              <w:t>[…]</w:t>
            </w:r>
          </w:p>
        </w:tc>
      </w:tr>
      <w:tr>
        <w:tc>
          <w:tcPr>
            <w:tcW w:type="dxa" w:w="4320"/>
          </w:tcPr>
          <w:p>
            <w:r/>
            <w:r>
              <w:t xml:space="preserve">Title: </w:t>
            </w:r>
            <w:r>
              <w:rPr>
                <w:rFonts w:ascii="Consolas" w:hAnsi="Consolas"/>
                <w:color w:val="4F46E5"/>
                <w:sz w:val="19"/>
              </w:rPr>
              <w:t>[…]</w:t>
            </w:r>
          </w:p>
        </w:tc>
        <w:tc>
          <w:tcPr>
            <w:tcW w:type="dxa" w:w="4320"/>
          </w:tcPr>
          <w:p>
            <w:r/>
            <w:r>
              <w:t xml:space="preserve">Title: </w:t>
            </w:r>
            <w:r>
              <w:rPr>
                <w:rFonts w:ascii="Consolas" w:hAnsi="Consolas"/>
                <w:color w:val="4F46E5"/>
                <w:sz w:val="19"/>
              </w:rPr>
              <w:t>[…]</w:t>
            </w:r>
          </w:p>
        </w:tc>
      </w:tr>
      <w:tr>
        <w:tc>
          <w:tcPr>
            <w:tcW w:type="dxa" w:w="4320"/>
          </w:tcPr>
          <w:p>
            <w:r/>
            <w:r>
              <w:t xml:space="preserve">Date: </w:t>
            </w:r>
            <w:r>
              <w:rPr>
                <w:rFonts w:ascii="Consolas" w:hAnsi="Consolas"/>
                <w:color w:val="4F46E5"/>
                <w:sz w:val="19"/>
              </w:rPr>
              <w:t>[…]</w:t>
            </w:r>
          </w:p>
        </w:tc>
        <w:tc>
          <w:tcPr>
            <w:tcW w:type="dxa" w:w="4320"/>
          </w:tcPr>
          <w:p>
            <w:r/>
            <w:r>
              <w:t xml:space="preserve">Date: </w:t>
            </w:r>
            <w:r>
              <w:rPr>
                <w:rFonts w:ascii="Consolas" w:hAnsi="Consolas"/>
                <w:color w:val="4F46E5"/>
                <w:sz w:val="19"/>
              </w:rPr>
              <w:t>[…]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