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  <w:sz w:val="44"/>
        </w:rPr>
        <w:t>Pre-Launch Compliance Checklist — Spoken Edge</w:t>
      </w:r>
    </w:p>
    <w:p>
      <w:r>
        <w:t>A single-glance list of everything to complete before going live. Detail for each item is in COMPLIANCE-GUIDE.md.</w:t>
      </w:r>
    </w:p>
    <w:p>
      <w:r>
        <w:rPr>
          <w:b/>
        </w:rPr>
        <w:t>Last updated:</w:t>
      </w:r>
      <w:r>
        <w:t xml:space="preserve"> 2026-06-11</w:t>
      </w:r>
    </w:p>
    <w:p>
      <w:pPr>
        <w:pStyle w:val="Heading1"/>
      </w:pPr>
      <w:r>
        <w:rPr>
          <w:color w:val="1F2937"/>
        </w:rPr>
        <w:t>Legal documents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Privacy Policy</w:t>
      </w:r>
      <w:r>
        <w:t xml:space="preserve"> finalized &amp; legally reviewed (in-app at </w:t>
      </w:r>
      <w:r>
        <w:rPr>
          <w:rFonts w:ascii="Consolas" w:hAnsi="Consolas"/>
          <w:color w:val="4F46E5"/>
          <w:sz w:val="19"/>
        </w:rPr>
        <w:t>/privacy</w:t>
      </w:r>
      <w:r>
        <w:t>)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Terms of Service</w:t>
      </w:r>
      <w:r>
        <w:t xml:space="preserve"> finalized &amp; legally reviewed (in-app at </w:t>
      </w:r>
      <w:r>
        <w:rPr>
          <w:rFonts w:ascii="Consolas" w:hAnsi="Consolas"/>
          <w:color w:val="4F46E5"/>
          <w:sz w:val="19"/>
        </w:rPr>
        <w:t>/terms</w:t>
      </w:r>
      <w:r>
        <w:t>)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DPA</w:t>
      </w:r>
      <w:r>
        <w:t xml:space="preserve"> finalized from DPA-TEMPLATE.md and offered to every school</w:t>
      </w:r>
    </w:p>
    <w:p>
      <w:pPr>
        <w:pStyle w:val="ListBullet"/>
      </w:pPr>
      <w:r>
        <w:rPr>
          <w:sz w:val="22"/>
        </w:rPr>
        <w:t xml:space="preserve">☐ </w:t>
      </w:r>
      <w:r>
        <w:t>FERPA "school official" + COPPA "school consent" terms included (in DPA or ToS)</w:t>
      </w:r>
    </w:p>
    <w:p>
      <w:pPr>
        <w:pStyle w:val="ListBullet"/>
      </w:pPr>
      <w:r>
        <w:rPr>
          <w:sz w:val="22"/>
        </w:rPr>
        <w:t xml:space="preserve">☐ </w:t>
      </w:r>
      <w:r>
        <w:t>CCPA/CPRA "service provider" language included</w:t>
      </w:r>
    </w:p>
    <w:p>
      <w:pPr>
        <w:pStyle w:val="Heading1"/>
      </w:pPr>
      <w:r>
        <w:rPr>
          <w:color w:val="1F2937"/>
        </w:rPr>
        <w:t>Privacy &amp; data rights</w:t>
      </w:r>
    </w:p>
    <w:p>
      <w:pPr>
        <w:pStyle w:val="ListBullet"/>
      </w:pPr>
      <w:r>
        <w:rPr>
          <w:sz w:val="22"/>
        </w:rPr>
        <w:t xml:space="preserve">☐ </w:t>
      </w:r>
      <w:r>
        <w:t xml:space="preserve">Data </w:t>
      </w:r>
      <w:r>
        <w:rPr>
          <w:b/>
        </w:rPr>
        <w:t>export</w:t>
      </w:r>
      <w:r>
        <w:t xml:space="preserve"> flow working (portability/access)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Hard-delete</w:t>
      </w:r>
      <w:r>
        <w:t xml:space="preserve"> / erasure flow working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Retention &amp; deletion schedule</w:t>
      </w:r>
      <w:r>
        <w:t xml:space="preserve"> documented (per data type)</w:t>
      </w:r>
    </w:p>
    <w:p>
      <w:pPr>
        <w:pStyle w:val="ListBullet"/>
      </w:pPr>
      <w:r>
        <w:rPr>
          <w:sz w:val="22"/>
        </w:rPr>
        <w:t xml:space="preserve">☐ </w:t>
      </w:r>
      <w:r>
        <w:t>Record of Processing Activities (RoPA) maintained</w:t>
      </w:r>
    </w:p>
    <w:p>
      <w:pPr>
        <w:pStyle w:val="ListBullet"/>
      </w:pPr>
      <w:r>
        <w:rPr>
          <w:sz w:val="22"/>
        </w:rPr>
        <w:t xml:space="preserve">☐ </w:t>
      </w:r>
      <w:r>
        <w:t>Data-correction path for parents/students documented (via school)</w:t>
      </w:r>
    </w:p>
    <w:p>
      <w:pPr>
        <w:pStyle w:val="Heading1"/>
      </w:pPr>
      <w:r>
        <w:rPr>
          <w:color w:val="1F2937"/>
        </w:rPr>
        <w:t>Sub-processors &amp; transfers</w:t>
      </w:r>
    </w:p>
    <w:p>
      <w:pPr>
        <w:pStyle w:val="ListBullet"/>
      </w:pPr>
      <w:r>
        <w:rPr>
          <w:sz w:val="22"/>
        </w:rPr>
        <w:t xml:space="preserve">☐ </w:t>
      </w:r>
      <w:r>
        <w:t>SUB-PROCESSORS.md published and current</w:t>
      </w:r>
    </w:p>
    <w:p>
      <w:pPr>
        <w:pStyle w:val="ListBullet"/>
      </w:pPr>
      <w:r>
        <w:rPr>
          <w:sz w:val="22"/>
        </w:rPr>
        <w:t xml:space="preserve">☐ </w:t>
      </w:r>
      <w:r>
        <w:t>Stripe DPA in place</w:t>
      </w:r>
    </w:p>
    <w:p>
      <w:pPr>
        <w:pStyle w:val="ListBullet"/>
      </w:pPr>
      <w:r>
        <w:rPr>
          <w:sz w:val="22"/>
        </w:rPr>
        <w:t xml:space="preserve">☐ </w:t>
      </w:r>
      <w:r>
        <w:t>Google Cloud DPA in place; confirmed no model-training on customer data</w:t>
      </w:r>
    </w:p>
    <w:p>
      <w:pPr>
        <w:pStyle w:val="ListBullet"/>
      </w:pPr>
      <w:r>
        <w:rPr>
          <w:sz w:val="22"/>
        </w:rPr>
        <w:t xml:space="preserve">☐ </w:t>
      </w:r>
      <w:r>
        <w:t xml:space="preserve">Hosting + email providers and </w:t>
      </w:r>
      <w:r>
        <w:rPr>
          <w:b/>
        </w:rPr>
        <w:t>regions</w:t>
      </w:r>
      <w:r>
        <w:t xml:space="preserve"> confirmed</w:t>
      </w:r>
    </w:p>
    <w:p>
      <w:pPr>
        <w:pStyle w:val="ListBullet"/>
      </w:pPr>
      <w:r>
        <w:rPr>
          <w:sz w:val="22"/>
        </w:rPr>
        <w:t xml:space="preserve">☐ </w:t>
      </w:r>
      <w:r>
        <w:t>SCCs in place for any EU/UK data transfer</w:t>
      </w:r>
    </w:p>
    <w:p>
      <w:pPr>
        <w:pStyle w:val="Heading1"/>
      </w:pPr>
      <w:r>
        <w:rPr>
          <w:color w:val="1F2937"/>
        </w:rPr>
        <w:t>Payments (PCI DSS)</w:t>
      </w:r>
    </w:p>
    <w:p>
      <w:pPr>
        <w:pStyle w:val="ListBullet"/>
      </w:pPr>
      <w:r>
        <w:rPr>
          <w:sz w:val="22"/>
        </w:rPr>
        <w:t xml:space="preserve">☐ </w:t>
      </w:r>
      <w:r>
        <w:t xml:space="preserve">Confirmed </w:t>
      </w:r>
      <w:r>
        <w:rPr>
          <w:b/>
        </w:rPr>
        <w:t>no card data</w:t>
      </w:r>
      <w:r>
        <w:t xml:space="preserve"> touches backend, logs, or DB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SAQ A</w:t>
      </w:r>
      <w:r>
        <w:t xml:space="preserve"> self-assessment completed</w:t>
      </w:r>
    </w:p>
    <w:p>
      <w:pPr>
        <w:pStyle w:val="ListBullet"/>
      </w:pPr>
      <w:r>
        <w:rPr>
          <w:sz w:val="22"/>
        </w:rPr>
        <w:t xml:space="preserve">☐ </w:t>
      </w:r>
      <w:r>
        <w:t>All payment pages served over HTTPS/TLS only</w:t>
      </w:r>
    </w:p>
    <w:p>
      <w:pPr>
        <w:pStyle w:val="Heading1"/>
      </w:pPr>
      <w:r>
        <w:rPr>
          <w:color w:val="1F2937"/>
        </w:rPr>
        <w:t>Security</w:t>
      </w:r>
    </w:p>
    <w:p>
      <w:pPr>
        <w:pStyle w:val="ListBullet"/>
      </w:pPr>
      <w:r>
        <w:rPr>
          <w:sz w:val="22"/>
        </w:rPr>
        <w:t xml:space="preserve">☐ </w:t>
      </w:r>
      <w:r>
        <w:t>Tenant isolation (</w:t>
      </w:r>
      <w:r>
        <w:rPr>
          <w:rFonts w:ascii="Consolas" w:hAnsi="Consolas"/>
          <w:color w:val="4F46E5"/>
          <w:sz w:val="19"/>
        </w:rPr>
        <w:t>school_id</w:t>
      </w:r>
      <w:r>
        <w:t>) verified on every endpoint (no IDOR)</w:t>
      </w:r>
    </w:p>
    <w:p>
      <w:pPr>
        <w:pStyle w:val="ListBullet"/>
      </w:pPr>
      <w:r>
        <w:rPr>
          <w:sz w:val="22"/>
        </w:rPr>
        <w:t xml:space="preserve">☐ </w:t>
      </w:r>
      <w:r>
        <w:t>Passwords hashed; strong password policy enforced both sides</w:t>
      </w:r>
    </w:p>
    <w:p>
      <w:pPr>
        <w:pStyle w:val="ListBullet"/>
      </w:pPr>
      <w:r>
        <w:rPr>
          <w:sz w:val="22"/>
        </w:rPr>
        <w:t xml:space="preserve">☐ </w:t>
      </w:r>
      <w:r>
        <w:t>Role-based authorization verified (</w:t>
      </w:r>
      <w:r>
        <w:rPr>
          <w:rFonts w:ascii="Consolas" w:hAnsi="Consolas"/>
          <w:color w:val="4F46E5"/>
          <w:sz w:val="19"/>
        </w:rPr>
        <w:t>super admin</w:t>
      </w:r>
      <w:r>
        <w:t xml:space="preserve"> / </w:t>
      </w:r>
      <w:r>
        <w:rPr>
          <w:rFonts w:ascii="Consolas" w:hAnsi="Consolas"/>
          <w:color w:val="4F46E5"/>
          <w:sz w:val="19"/>
        </w:rPr>
        <w:t>admin</w:t>
      </w:r>
      <w:r>
        <w:t xml:space="preserve"> / </w:t>
      </w:r>
      <w:r>
        <w:rPr>
          <w:rFonts w:ascii="Consolas" w:hAnsi="Consolas"/>
          <w:color w:val="4F46E5"/>
          <w:sz w:val="19"/>
        </w:rPr>
        <w:t>teacher</w:t>
      </w:r>
      <w:r>
        <w:t xml:space="preserve"> / </w:t>
      </w:r>
      <w:r>
        <w:rPr>
          <w:rFonts w:ascii="Consolas" w:hAnsi="Consolas"/>
          <w:color w:val="4F46E5"/>
          <w:sz w:val="19"/>
        </w:rPr>
        <w:t>student</w:t>
      </w:r>
      <w:r>
        <w:t>)</w:t>
      </w:r>
    </w:p>
    <w:p>
      <w:pPr>
        <w:pStyle w:val="ListBullet"/>
      </w:pPr>
      <w:r>
        <w:rPr>
          <w:sz w:val="22"/>
        </w:rPr>
        <w:t xml:space="preserve">☐ </w:t>
      </w:r>
      <w:r>
        <w:t>Encryption at rest for sensitive data + encrypted backups</w:t>
      </w:r>
    </w:p>
    <w:p>
      <w:pPr>
        <w:pStyle w:val="ListBullet"/>
      </w:pPr>
      <w:r>
        <w:rPr>
          <w:sz w:val="22"/>
        </w:rPr>
        <w:t xml:space="preserve">☐ </w:t>
      </w:r>
      <w:r>
        <w:t>Server-side, least-privilege API keys (no client-side secrets)</w:t>
      </w:r>
    </w:p>
    <w:p>
      <w:pPr>
        <w:pStyle w:val="ListBullet"/>
      </w:pPr>
      <w:r>
        <w:rPr>
          <w:sz w:val="22"/>
        </w:rPr>
        <w:t xml:space="preserve">☐ </w:t>
      </w:r>
      <w:r>
        <w:t>Audit logging of administrative actions enabled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Incident-response / 72-hour breach</w:t>
      </w:r>
      <w:r>
        <w:t xml:space="preserve"> runbook written &amp; rehearsed</w:t>
      </w:r>
    </w:p>
    <w:p>
      <w:pPr>
        <w:pStyle w:val="Heading1"/>
      </w:pPr>
      <w:r>
        <w:rPr>
          <w:color w:val="1F2937"/>
        </w:rPr>
        <w:t>Accessibility</w:t>
      </w:r>
    </w:p>
    <w:p>
      <w:pPr>
        <w:pStyle w:val="ListBullet"/>
      </w:pPr>
      <w:r>
        <w:rPr>
          <w:sz w:val="22"/>
        </w:rPr>
        <w:t xml:space="preserve">☐ </w:t>
      </w:r>
      <w:r>
        <w:t>Automated audit (axe / Lighthouse) passed</w:t>
      </w:r>
    </w:p>
    <w:p>
      <w:pPr>
        <w:pStyle w:val="ListBullet"/>
      </w:pPr>
      <w:r>
        <w:rPr>
          <w:sz w:val="22"/>
        </w:rPr>
        <w:t xml:space="preserve">☐ </w:t>
      </w:r>
      <w:r>
        <w:t>Manual screen-reader pass on core flows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rFonts w:ascii="Consolas" w:hAnsi="Consolas"/>
          <w:color w:val="4F46E5"/>
          <w:sz w:val="19"/>
        </w:rPr>
        <w:t>prefers-reduced-motion</w:t>
      </w:r>
      <w:r>
        <w:t xml:space="preserve"> implemented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</w:rPr>
        <w:t>VPAT</w:t>
      </w:r>
      <w:r>
        <w:t xml:space="preserve"> completed from VPAT.md</w:t>
      </w:r>
    </w:p>
    <w:p>
      <w:pPr>
        <w:pStyle w:val="Heading1"/>
      </w:pPr>
      <w:r>
        <w:rPr>
          <w:color w:val="1F2937"/>
        </w:rPr>
        <w:t>Third-party feature terms</w:t>
      </w:r>
    </w:p>
    <w:p>
      <w:pPr>
        <w:pStyle w:val="ListBullet"/>
      </w:pPr>
      <w:r>
        <w:rPr>
          <w:sz w:val="22"/>
        </w:rPr>
        <w:t xml:space="preserve">☐ </w:t>
      </w:r>
      <w:r>
        <w:t xml:space="preserve">Google Translate </w:t>
      </w:r>
      <w:r>
        <w:rPr>
          <w:b/>
        </w:rPr>
        <w:t>attribution</w:t>
      </w:r>
      <w:r>
        <w:t xml:space="preserve"> shown in UI where required</w:t>
      </w:r>
    </w:p>
    <w:p>
      <w:pPr>
        <w:pStyle w:val="ListBullet"/>
      </w:pPr>
      <w:r>
        <w:rPr>
          <w:sz w:val="22"/>
        </w:rPr>
        <w:t xml:space="preserve">☐ </w:t>
      </w:r>
      <w:r>
        <w:t>API rate limits / quotas handled gracefully</w:t>
      </w:r>
    </w:p>
    <w:p>
      <w:pPr>
        <w:pBdr>
          <w:bottom w:val="single" w:sz="6" w:space="1" w:color="D1D5DB"/>
        </w:pBdr>
      </w:pPr>
    </w:p>
    <w:p>
      <w:pPr>
        <w:ind w:left="432"/>
        <w:pBdr>
          <w:left w:val="single" w:sz="18" w:space="8" w:color="4F46E5"/>
        </w:pBdr>
      </w:pPr>
      <w:r>
        <w:rPr>
          <w:i/>
          <w:color w:val="6B7280"/>
        </w:rPr>
        <w:t>Tip: keep this checklist under version control and re-review at every major release or when adding a sub-processor, a data field, or a new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