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F46E5"/>
          <w:sz w:val="44"/>
        </w:rPr>
        <w:t>Sub-processors — Spoken Edge</w:t>
      </w:r>
    </w:p>
    <w:p>
      <w:r>
        <w:t xml:space="preserve">Spoken Edge uses the third-party services below to process personal data on behalf of schools (the data controllers). Keep this list current and </w:t>
      </w:r>
      <w:r>
        <w:rPr>
          <w:b/>
        </w:rPr>
        <w:t>notify schools in advance</w:t>
      </w:r>
      <w:r>
        <w:t xml:space="preserve"> of any additions or changes.</w:t>
      </w:r>
    </w:p>
    <w:p>
      <w:r>
        <w:rPr>
          <w:b/>
        </w:rPr>
        <w:t>Last updated:</w:t>
      </w:r>
      <w:r>
        <w:t xml:space="preserve"> 2026-06-11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Sub-processor</w:t>
            </w:r>
          </w:p>
        </w:tc>
        <w:tc>
          <w:tcPr>
            <w:tcW w:type="dxa" w:w="1728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728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Personal data shared</w:t>
            </w:r>
          </w:p>
        </w:tc>
        <w:tc>
          <w:tcPr>
            <w:tcW w:type="dxa" w:w="1728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Region(s)</w:t>
            </w:r>
          </w:p>
        </w:tc>
        <w:tc>
          <w:tcPr>
            <w:tcW w:type="dxa" w:w="1728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Agreements to 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Stripe, Inc.</w:t>
            </w:r>
          </w:p>
        </w:tc>
        <w:tc>
          <w:tcPr>
            <w:tcW w:type="dxa" w:w="1728"/>
          </w:tcPr>
          <w:p>
            <w:r/>
            <w:r>
              <w:t>Subscription billing &amp; payment processing</w:t>
            </w:r>
          </w:p>
        </w:tc>
        <w:tc>
          <w:tcPr>
            <w:tcW w:type="dxa" w:w="1728"/>
          </w:tcPr>
          <w:p>
            <w:r/>
            <w:r>
              <w:t xml:space="preserve">Billing contact name/email, Stripe customer &amp; subscription IDs. </w:t>
            </w:r>
            <w:r>
              <w:rPr>
                <w:b/>
              </w:rPr>
              <w:t>No card data is stored by Spoken Edge</w:t>
            </w:r>
            <w:r>
              <w:t xml:space="preserve"> — Stripe handles all cardholder data.</w:t>
            </w:r>
          </w:p>
        </w:tc>
        <w:tc>
          <w:tcPr>
            <w:tcW w:type="dxa" w:w="1728"/>
          </w:tcPr>
          <w:p>
            <w:r/>
            <w:r>
              <w:t>US (global)</w:t>
            </w:r>
          </w:p>
        </w:tc>
        <w:tc>
          <w:tcPr>
            <w:tcW w:type="dxa" w:w="1728"/>
          </w:tcPr>
          <w:p>
            <w:r/>
            <w:r>
              <w:t>Stripe DPA, PCI DSS attestation, SCCs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Google Cloud</w:t>
            </w:r>
            <w:r>
              <w:t xml:space="preserve"> (Cloud Translation / Speech-to-Text)</w:t>
            </w:r>
          </w:p>
        </w:tc>
        <w:tc>
          <w:tcPr>
            <w:tcW w:type="dxa" w:w="1728"/>
          </w:tcPr>
          <w:p>
            <w:r/>
            <w:r>
              <w:t>Real-time translation and speech-to-text for live conversations</w:t>
            </w:r>
          </w:p>
        </w:tc>
        <w:tc>
          <w:tcPr>
            <w:tcW w:type="dxa" w:w="1728"/>
          </w:tcPr>
          <w:p>
            <w:r/>
            <w:r>
              <w:t>Message text and transcribed speech submitted for translation</w:t>
            </w:r>
          </w:p>
        </w:tc>
        <w:tc>
          <w:tcPr>
            <w:tcW w:type="dxa" w:w="1728"/>
          </w:tcPr>
          <w:p>
            <w:r/>
            <w:r>
              <w:t>US / configurable</w:t>
            </w:r>
          </w:p>
        </w:tc>
        <w:tc>
          <w:tcPr>
            <w:tcW w:type="dxa" w:w="1728"/>
          </w:tcPr>
          <w:p>
            <w:r/>
            <w:r>
              <w:t>Google Cloud DPA, SCCs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Hosting provider</w:t>
            </w:r>
            <w:r>
              <w:t xml:space="preserve"> *(e.g., Railway / cloud host — confirm)*</w:t>
            </w:r>
          </w:p>
        </w:tc>
        <w:tc>
          <w:tcPr>
            <w:tcW w:type="dxa" w:w="1728"/>
          </w:tcPr>
          <w:p>
            <w:r/>
            <w:r>
              <w:t>Application server &amp; PostgreSQL database hosting</w:t>
            </w:r>
          </w:p>
        </w:tc>
        <w:tc>
          <w:tcPr>
            <w:tcW w:type="dxa" w:w="1728"/>
          </w:tcPr>
          <w:p>
            <w:r/>
            <w:r>
              <w:t>All stored personal data (profiles, messages, usage, billing metadata)</w:t>
            </w:r>
          </w:p>
        </w:tc>
        <w:tc>
          <w:tcPr>
            <w:tcW w:type="dxa" w:w="1728"/>
          </w:tcPr>
          <w:p>
            <w:r/>
            <w:r>
              <w:t>*Confirm region*</w:t>
            </w:r>
          </w:p>
        </w:tc>
        <w:tc>
          <w:tcPr>
            <w:tcW w:type="dxa" w:w="1728"/>
          </w:tcPr>
          <w:p>
            <w:r/>
            <w:r>
              <w:t>Provider DPA, SCCs (if EU data)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Email / notification provider</w:t>
            </w:r>
            <w:r>
              <w:t xml:space="preserve"> *(if used — confirm)*</w:t>
            </w:r>
          </w:p>
        </w:tc>
        <w:tc>
          <w:tcPr>
            <w:tcW w:type="dxa" w:w="1728"/>
          </w:tcPr>
          <w:p>
            <w:r/>
            <w:r>
              <w:t>Transactional email (password reset, invites, notifications)</w:t>
            </w:r>
          </w:p>
        </w:tc>
        <w:tc>
          <w:tcPr>
            <w:tcW w:type="dxa" w:w="1728"/>
          </w:tcPr>
          <w:p>
            <w:r/>
            <w:r>
              <w:t>Email address, name</w:t>
            </w:r>
          </w:p>
        </w:tc>
        <w:tc>
          <w:tcPr>
            <w:tcW w:type="dxa" w:w="1728"/>
          </w:tcPr>
          <w:p>
            <w:r/>
            <w:r>
              <w:t>*Confirm*</w:t>
            </w:r>
          </w:p>
        </w:tc>
        <w:tc>
          <w:tcPr>
            <w:tcW w:type="dxa" w:w="1728"/>
          </w:tcPr>
          <w:p>
            <w:r/>
            <w:r>
              <w:t>Provider DPA</w:t>
            </w:r>
          </w:p>
        </w:tc>
      </w:tr>
    </w:tbl>
    <w:p/>
    <w:p>
      <w:pPr>
        <w:pStyle w:val="Heading1"/>
      </w:pPr>
      <w:r>
        <w:rPr>
          <w:color w:val="1F2937"/>
        </w:rPr>
        <w:t>Notes</w:t>
      </w:r>
    </w:p>
    <w:p>
      <w:pPr>
        <w:pStyle w:val="ListBullet"/>
      </w:pPr>
      <w:r>
        <w:rPr>
          <w:b/>
        </w:rPr>
        <w:t>No card data</w:t>
      </w:r>
      <w:r>
        <w:t xml:space="preserve"> ever reaches the Spoken Edge backend, logs, or database — only Stripe identifiers and billing metadata are stored. This keeps payment handling in </w:t>
      </w:r>
      <w:r>
        <w:rPr>
          <w:b/>
        </w:rPr>
        <w:t>PCI DSS SAQ-A</w:t>
      </w:r>
      <w:r>
        <w:t xml:space="preserve"> scope.</w:t>
      </w:r>
    </w:p>
    <w:p>
      <w:pPr>
        <w:pStyle w:val="ListBullet"/>
      </w:pPr>
      <w:r>
        <w:t xml:space="preserve">Google Cloud APIs are configured </w:t>
      </w:r>
      <w:r>
        <w:rPr>
          <w:b/>
        </w:rPr>
        <w:t>not to use customer content to train</w:t>
      </w:r>
      <w:r>
        <w:t xml:space="preserve"> Google's models — confirm this for the exact products in use and retain the Google DPA.</w:t>
      </w:r>
    </w:p>
    <w:p>
      <w:pPr>
        <w:pStyle w:val="ListBullet"/>
      </w:pPr>
      <w:r>
        <w:t xml:space="preserve">For EU/UK customers, confirm the </w:t>
      </w:r>
      <w:r>
        <w:rPr>
          <w:b/>
        </w:rPr>
        <w:t>hosting region</w:t>
      </w:r>
      <w:r>
        <w:t xml:space="preserve"> and that </w:t>
      </w:r>
      <w:r>
        <w:rPr>
          <w:b/>
        </w:rPr>
        <w:t>Standard Contractual Clauses (SCCs)</w:t>
      </w:r>
      <w:r>
        <w:t xml:space="preserve"> are in place for any transfer outside the EEA.</w:t>
      </w:r>
    </w:p>
    <w:p>
      <w:pPr>
        <w:pStyle w:val="Heading1"/>
      </w:pPr>
      <w:r>
        <w:rPr>
          <w:color w:val="1F2937"/>
        </w:rPr>
        <w:t>Change process</w:t>
      </w:r>
    </w:p>
    <w:p>
      <w:pPr>
        <w:pStyle w:val="ListNumber"/>
      </w:pPr>
      <w:r>
        <w:t>Before adding/replacing a sub-processor, confirm it offers a DPA (and SCCs if it processes EU data).</w:t>
      </w:r>
    </w:p>
    <w:p>
      <w:pPr>
        <w:pStyle w:val="ListNumber"/>
      </w:pPr>
      <w:r>
        <w:t>Update this file (and the table in COMPLIANCE-GUIDE.md §7).</w:t>
      </w:r>
    </w:p>
    <w:p>
      <w:pPr>
        <w:pStyle w:val="ListNumber"/>
      </w:pPr>
      <w:r>
        <w:t>Notify schools per the DPA's sub-processor change-notice clause.</w:t>
      </w:r>
    </w:p>
    <w:p>
      <w:pPr>
        <w:ind w:left="432"/>
        <w:pBdr>
          <w:left w:val="single" w:sz="18" w:space="8" w:color="4F46E5"/>
        </w:pBdr>
      </w:pPr>
      <w:r>
        <w:rPr>
          <w:b/>
          <w:i/>
          <w:color w:val="6B7280"/>
        </w:rPr>
        <w:t>Action items:</w:t>
      </w:r>
      <w:r>
        <w:rPr>
          <w:i/>
          <w:color w:val="6B7280"/>
        </w:rPr>
        <w:t xml:space="preserve"> confirm the exact hosting and email providers and their regions, then replace the *italicized placeholders*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