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6D28D9"/>
          <w:sz w:val="72"/>
          <w:szCs w:val="72"/>
        </w:rPr>
        <w:t xml:space="preserve">Rankwise</w:t>
      </w:r>
    </w:p>
    <w:p>
      <w:pPr>
        <w:spacing w:after="360"/>
      </w:pPr>
      <w:r>
        <w:rPr>
          <w:rFonts w:ascii="Calibri" w:cs="Calibri" w:eastAsia="Calibri" w:hAnsi="Calibri"/>
          <w:color w:val="1F2937"/>
          <w:sz w:val="32"/>
          <w:szCs w:val="32"/>
        </w:rPr>
        <w:t xml:space="preserve">Engineering overview: what was built, how it fits together, and how it works</w:t>
      </w:r>
    </w:p>
    <w:p>
      <w:pPr>
        <w:pBdr>
          <w:bottom w:val="single" w:color="6D28D9" w:sz="8" w:space="4"/>
        </w:pBdr>
        <w:spacing w:after="360"/>
      </w:pPr>
    </w:p>
    <w:p>
      <w:pPr>
        <w:spacing w:after="120" w:line="288"/>
      </w:pPr>
      <w:r>
        <w:rPr>
          <w:rFonts w:ascii="Calibri" w:cs="Calibri" w:eastAsia="Calibri" w:hAnsi="Calibri"/>
          <w:b/>
          <w:bCs/>
          <w:color w:val="1F2937"/>
          <w:sz w:val="21"/>
          <w:szCs w:val="21"/>
        </w:rPr>
        <w:t xml:space="preserve">Product: </w:t>
      </w:r>
      <w:r>
        <w:rPr>
          <w:rFonts w:ascii="Calibri" w:cs="Calibri" w:eastAsia="Calibri" w:hAnsi="Calibri"/>
          <w:color w:val="1F2937"/>
          <w:sz w:val="21"/>
          <w:szCs w:val="21"/>
        </w:rPr>
        <w:t xml:space="preserve">SEO, AEO and GEO website audits with ranked fixes, monitoring and credit-based plans</w:t>
      </w:r>
    </w:p>
    <w:p>
      <w:pPr>
        <w:spacing w:after="120" w:line="288"/>
      </w:pPr>
      <w:r>
        <w:rPr>
          <w:rFonts w:ascii="Calibri" w:cs="Calibri" w:eastAsia="Calibri" w:hAnsi="Calibri"/>
          <w:b/>
          <w:bCs/>
          <w:color w:val="1F2937"/>
          <w:sz w:val="21"/>
          <w:szCs w:val="21"/>
        </w:rPr>
        <w:t xml:space="preserve">Live: </w:t>
      </w:r>
      <w:r>
        <w:rPr>
          <w:rFonts w:ascii="Calibri" w:cs="Calibri" w:eastAsia="Calibri" w:hAnsi="Calibri"/>
          <w:color w:val="1F2937"/>
          <w:sz w:val="21"/>
          <w:szCs w:val="21"/>
        </w:rPr>
        <w:t xml:space="preserve">https://rankwise-xi.vercel.app (website) · https://ira-analytics.onrender.com (API)</w:t>
      </w:r>
    </w:p>
    <w:p>
      <w:pPr>
        <w:spacing w:after="120" w:line="288"/>
      </w:pPr>
      <w:r>
        <w:rPr>
          <w:rFonts w:ascii="Calibri" w:cs="Calibri" w:eastAsia="Calibri" w:hAnsi="Calibri"/>
          <w:b/>
          <w:bCs/>
          <w:color w:val="1F2937"/>
          <w:sz w:val="21"/>
          <w:szCs w:val="21"/>
        </w:rPr>
        <w:t xml:space="preserve">Repository: </w:t>
      </w:r>
      <w:r>
        <w:rPr>
          <w:rFonts w:ascii="Calibri" w:cs="Calibri" w:eastAsia="Calibri" w:hAnsi="Calibri"/>
          <w:color w:val="1F2937"/>
          <w:sz w:val="21"/>
          <w:szCs w:val="21"/>
        </w:rPr>
        <w:t xml:space="preserve">github.com/mmahesh09/Ira-Analytics (branch main)</w:t>
      </w:r>
    </w:p>
    <w:p>
      <w:pPr>
        <w:spacing w:after="120" w:line="288"/>
      </w:pPr>
      <w:r>
        <w:rPr>
          <w:rFonts w:ascii="Calibri" w:cs="Calibri" w:eastAsia="Calibri" w:hAnsi="Calibri"/>
          <w:b/>
          <w:bCs/>
          <w:color w:val="1F2937"/>
          <w:sz w:val="21"/>
          <w:szCs w:val="21"/>
        </w:rPr>
        <w:t xml:space="preserve">Business: </w:t>
      </w:r>
      <w:r>
        <w:rPr>
          <w:rFonts w:ascii="Calibri" w:cs="Calibri" w:eastAsia="Calibri" w:hAnsi="Calibri"/>
          <w:color w:val="1F2937"/>
          <w:sz w:val="21"/>
          <w:szCs w:val="21"/>
        </w:rPr>
        <w:t xml:space="preserve">Rankwise, Hyderabad, Telangana, India · rudraai737@gmail.com</w:t>
      </w:r>
    </w:p>
    <w:p>
      <w:pPr>
        <w:spacing w:after="120" w:line="288"/>
      </w:pPr>
      <w:r>
        <w:rPr>
          <w:rFonts w:ascii="Calibri" w:cs="Calibri" w:eastAsia="Calibri" w:hAnsi="Calibri"/>
          <w:b/>
          <w:bCs/>
          <w:color w:val="1F2937"/>
          <w:sz w:val="21"/>
          <w:szCs w:val="21"/>
        </w:rPr>
        <w:t xml:space="preserve">Document date: </w:t>
      </w:r>
      <w:r>
        <w:rPr>
          <w:rFonts w:ascii="Calibri" w:cs="Calibri" w:eastAsia="Calibri" w:hAnsi="Calibri"/>
          <w:color w:val="1F2937"/>
          <w:sz w:val="21"/>
          <w:szCs w:val="21"/>
        </w:rPr>
        <w:t xml:space="preserve">20 October 2026</w:t>
      </w:r>
    </w:p>
    <w:p>
      <w:r>
        <w:br w:type="page"/>
      </w:r>
    </w:p>
    <w:p>
      <w:pPr>
        <w:pStyle w:val="Heading1"/>
      </w:pPr>
      <w:bookmarkStart w:name="_Toc1" w:id="1"/>
      <w:r>
        <w:rPr>
          <w:rFonts w:ascii="Calibri" w:cs="Calibri" w:eastAsia="Calibri" w:hAnsi="Calibri"/>
        </w:rPr>
        <w:t xml:space="preserve">Contents</w:t>
      </w:r>
      <w:bookmarkEnd w:id="1"/>
    </w:p>
    <w:sdt>
      <w:sdtPr>
        <w:alias w:val="Contents"/>
      </w:sdtPr>
      <w:sdtContent>
        <w:p>
          <w:pPr>
            <w:pStyle w:val="TOC1"/>
            <w:tabs>
              <w:tab w:val="right" w:pos="930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306" w:leader="dot"/>
            </w:tabs>
          </w:pPr>
          <w:hyperlink w:history="1" w:anchor="_Toc2">
            <w:r>
              <w:t xml:space="preserve">1. Summary</w:t>
            </w:r>
            <w:r>
              <w:tab/>
            </w:r>
            <w:r>
              <w:fldChar w:fldCharType="begin" w:dirty="true"/>
              <w:instrText xml:space="preserve">PAGEREF _Toc2 \h</w:instrText>
              <w:fldChar w:fldCharType="separate"/>
              <w:fldChar w:fldCharType="end"/>
            </w:r>
          </w:hyperlink>
        </w:p>
        <w:p>
          <w:pPr>
            <w:pStyle w:val="TOC2"/>
            <w:tabs>
              <w:tab w:val="right" w:pos="9306" w:leader="dot"/>
            </w:tabs>
            <w:ind w:left="220"/>
          </w:pPr>
          <w:hyperlink w:history="1" w:anchor="_Toc3">
            <w:r>
              <w:t xml:space="preserve">1.1 What was delivered</w:t>
            </w:r>
            <w:r>
              <w:tab/>
            </w:r>
            <w:r>
              <w:fldChar w:fldCharType="begin" w:dirty="true"/>
              <w:instrText xml:space="preserve">PAGEREF _Toc3 \h</w:instrText>
              <w:fldChar w:fldCharType="separate"/>
              <w:fldChar w:fldCharType="end"/>
            </w:r>
          </w:hyperlink>
        </w:p>
        <w:p>
          <w:pPr>
            <w:pStyle w:val="TOC1"/>
            <w:tabs>
              <w:tab w:val="right" w:pos="9306" w:leader="dot"/>
            </w:tabs>
          </w:pPr>
          <w:hyperlink w:history="1" w:anchor="_Toc4">
            <w:r>
              <w:t xml:space="preserve">2. Work log</w:t>
            </w:r>
            <w:r>
              <w:tab/>
            </w:r>
            <w:r>
              <w:fldChar w:fldCharType="begin" w:dirty="true"/>
              <w:instrText xml:space="preserve">PAGEREF _Toc4 \h</w:instrText>
              <w:fldChar w:fldCharType="separate"/>
              <w:fldChar w:fldCharType="end"/>
            </w:r>
          </w:hyperlink>
        </w:p>
        <w:p>
          <w:pPr>
            <w:pStyle w:val="TOC1"/>
            <w:tabs>
              <w:tab w:val="right" w:pos="9306" w:leader="dot"/>
            </w:tabs>
          </w:pPr>
          <w:hyperlink w:history="1" w:anchor="_Toc5">
            <w:r>
              <w:t xml:space="preserve">3. Technology stack</w:t>
            </w:r>
            <w:r>
              <w:tab/>
            </w:r>
            <w:r>
              <w:fldChar w:fldCharType="begin" w:dirty="true"/>
              <w:instrText xml:space="preserve">PAGEREF _Toc5 \h</w:instrText>
              <w:fldChar w:fldCharType="separate"/>
              <w:fldChar w:fldCharType="end"/>
            </w:r>
          </w:hyperlink>
        </w:p>
        <w:p>
          <w:pPr>
            <w:pStyle w:val="TOC1"/>
            <w:tabs>
              <w:tab w:val="right" w:pos="9306" w:leader="dot"/>
            </w:tabs>
          </w:pPr>
          <w:hyperlink w:history="1" w:anchor="_Toc6">
            <w:r>
              <w:t xml:space="preserve">4. Folder structure</w:t>
            </w:r>
            <w:r>
              <w:tab/>
            </w:r>
            <w:r>
              <w:fldChar w:fldCharType="begin" w:dirty="true"/>
              <w:instrText xml:space="preserve">PAGEREF _Toc6 \h</w:instrText>
              <w:fldChar w:fldCharType="separate"/>
              <w:fldChar w:fldCharType="end"/>
            </w:r>
          </w:hyperlink>
        </w:p>
        <w:p>
          <w:pPr>
            <w:pStyle w:val="TOC1"/>
            <w:tabs>
              <w:tab w:val="right" w:pos="9306" w:leader="dot"/>
            </w:tabs>
          </w:pPr>
          <w:hyperlink w:history="1" w:anchor="_Toc7">
            <w:r>
              <w:t xml:space="preserve">5. Architecture</w:t>
            </w:r>
            <w:r>
              <w:tab/>
            </w:r>
            <w:r>
              <w:fldChar w:fldCharType="begin" w:dirty="true"/>
              <w:instrText xml:space="preserve">PAGEREF _Toc7 \h</w:instrText>
              <w:fldChar w:fldCharType="separate"/>
              <w:fldChar w:fldCharType="end"/>
            </w:r>
          </w:hyperlink>
        </w:p>
        <w:p>
          <w:pPr>
            <w:pStyle w:val="TOC1"/>
            <w:tabs>
              <w:tab w:val="right" w:pos="9306" w:leader="dot"/>
            </w:tabs>
          </w:pPr>
          <w:hyperlink w:history="1" w:anchor="_Toc8">
            <w:r>
              <w:t xml:space="preserve">6. Workflows</w:t>
            </w:r>
            <w:r>
              <w:tab/>
            </w:r>
            <w:r>
              <w:fldChar w:fldCharType="begin" w:dirty="true"/>
              <w:instrText xml:space="preserve">PAGEREF _Toc8 \h</w:instrText>
              <w:fldChar w:fldCharType="separate"/>
              <w:fldChar w:fldCharType="end"/>
            </w:r>
          </w:hyperlink>
        </w:p>
        <w:p>
          <w:pPr>
            <w:pStyle w:val="TOC2"/>
            <w:tabs>
              <w:tab w:val="right" w:pos="9306" w:leader="dot"/>
            </w:tabs>
            <w:ind w:left="220"/>
          </w:pPr>
          <w:hyperlink w:history="1" w:anchor="_Toc9">
            <w:r>
              <w:t xml:space="preserve">6.1 Free preview (no account)</w:t>
            </w:r>
            <w:r>
              <w:tab/>
            </w:r>
            <w:r>
              <w:fldChar w:fldCharType="begin" w:dirty="true"/>
              <w:instrText xml:space="preserve">PAGEREF _Toc9 \h</w:instrText>
              <w:fldChar w:fldCharType="separate"/>
              <w:fldChar w:fldCharType="end"/>
            </w:r>
          </w:hyperlink>
        </w:p>
        <w:p>
          <w:pPr>
            <w:pStyle w:val="TOC2"/>
            <w:tabs>
              <w:tab w:val="right" w:pos="9306" w:leader="dot"/>
            </w:tabs>
            <w:ind w:left="220"/>
          </w:pPr>
          <w:hyperlink w:history="1" w:anchor="_Toc10">
            <w:r>
              <w:t xml:space="preserve">6.2 Sign-up and sign-in</w:t>
            </w:r>
            <w:r>
              <w:tab/>
            </w:r>
            <w:r>
              <w:fldChar w:fldCharType="begin" w:dirty="true"/>
              <w:instrText xml:space="preserve">PAGEREF _Toc10 \h</w:instrText>
              <w:fldChar w:fldCharType="separate"/>
              <w:fldChar w:fldCharType="end"/>
            </w:r>
          </w:hyperlink>
        </w:p>
        <w:p>
          <w:pPr>
            <w:pStyle w:val="TOC2"/>
            <w:tabs>
              <w:tab w:val="right" w:pos="9306" w:leader="dot"/>
            </w:tabs>
            <w:ind w:left="220"/>
          </w:pPr>
          <w:hyperlink w:history="1" w:anchor="_Toc11">
            <w:r>
              <w:t xml:space="preserve">6.3 Full audit (paid with credits)</w:t>
            </w:r>
            <w:r>
              <w:tab/>
            </w:r>
            <w:r>
              <w:fldChar w:fldCharType="begin" w:dirty="true"/>
              <w:instrText xml:space="preserve">PAGEREF _Toc11 \h</w:instrText>
              <w:fldChar w:fldCharType="separate"/>
              <w:fldChar w:fldCharType="end"/>
            </w:r>
          </w:hyperlink>
        </w:p>
        <w:p>
          <w:pPr>
            <w:pStyle w:val="TOC2"/>
            <w:tabs>
              <w:tab w:val="right" w:pos="9306" w:leader="dot"/>
            </w:tabs>
            <w:ind w:left="220"/>
          </w:pPr>
          <w:hyperlink w:history="1" w:anchor="_Toc12">
            <w:r>
              <w:t xml:space="preserve">6.4 Light checks, scheduling and monitoring</w:t>
            </w:r>
            <w:r>
              <w:tab/>
            </w:r>
            <w:r>
              <w:fldChar w:fldCharType="begin" w:dirty="true"/>
              <w:instrText xml:space="preserve">PAGEREF _Toc12 \h</w:instrText>
              <w:fldChar w:fldCharType="separate"/>
              <w:fldChar w:fldCharType="end"/>
            </w:r>
          </w:hyperlink>
        </w:p>
        <w:p>
          <w:pPr>
            <w:pStyle w:val="TOC2"/>
            <w:tabs>
              <w:tab w:val="right" w:pos="9306" w:leader="dot"/>
            </w:tabs>
            <w:ind w:left="220"/>
          </w:pPr>
          <w:hyperlink w:history="1" w:anchor="_Toc13">
            <w:r>
              <w:t xml:space="preserve">6.5 'Mark fixed' verification</w:t>
            </w:r>
            <w:r>
              <w:tab/>
            </w:r>
            <w:r>
              <w:fldChar w:fldCharType="begin" w:dirty="true"/>
              <w:instrText xml:space="preserve">PAGEREF _Toc13 \h</w:instrText>
              <w:fldChar w:fldCharType="separate"/>
              <w:fldChar w:fldCharType="end"/>
            </w:r>
          </w:hyperlink>
        </w:p>
        <w:p>
          <w:pPr>
            <w:pStyle w:val="TOC2"/>
            <w:tabs>
              <w:tab w:val="right" w:pos="9306" w:leader="dot"/>
            </w:tabs>
            <w:ind w:left="220"/>
          </w:pPr>
          <w:hyperlink w:history="1" w:anchor="_Toc14">
            <w:r>
              <w:t xml:space="preserve">6.6 Deploy hook</w:t>
            </w:r>
            <w:r>
              <w:tab/>
            </w:r>
            <w:r>
              <w:fldChar w:fldCharType="begin" w:dirty="true"/>
              <w:instrText xml:space="preserve">PAGEREF _Toc14 \h</w:instrText>
              <w:fldChar w:fldCharType="separate"/>
              <w:fldChar w:fldCharType="end"/>
            </w:r>
          </w:hyperlink>
        </w:p>
        <w:p>
          <w:pPr>
            <w:pStyle w:val="TOC2"/>
            <w:tabs>
              <w:tab w:val="right" w:pos="9306" w:leader="dot"/>
            </w:tabs>
            <w:ind w:left="220"/>
          </w:pPr>
          <w:hyperlink w:history="1" w:anchor="_Toc15">
            <w:r>
              <w:t xml:space="preserve">6.7 Subscription payment</w:t>
            </w:r>
            <w:r>
              <w:tab/>
            </w:r>
            <w:r>
              <w:fldChar w:fldCharType="begin" w:dirty="true"/>
              <w:instrText xml:space="preserve">PAGEREF _Toc15 \h</w:instrText>
              <w:fldChar w:fldCharType="separate"/>
              <w:fldChar w:fldCharType="end"/>
            </w:r>
          </w:hyperlink>
        </w:p>
        <w:p>
          <w:pPr>
            <w:pStyle w:val="TOC2"/>
            <w:tabs>
              <w:tab w:val="right" w:pos="9306" w:leader="dot"/>
            </w:tabs>
            <w:ind w:left="220"/>
          </w:pPr>
          <w:hyperlink w:history="1" w:anchor="_Toc16">
            <w:r>
              <w:t xml:space="preserve">6.8 Credit packs</w:t>
            </w:r>
            <w:r>
              <w:tab/>
            </w:r>
            <w:r>
              <w:fldChar w:fldCharType="begin" w:dirty="true"/>
              <w:instrText xml:space="preserve">PAGEREF _Toc16 \h</w:instrText>
              <w:fldChar w:fldCharType="separate"/>
              <w:fldChar w:fldCharType="end"/>
            </w:r>
          </w:hyperlink>
        </w:p>
        <w:p>
          <w:pPr>
            <w:pStyle w:val="TOC2"/>
            <w:tabs>
              <w:tab w:val="right" w:pos="9306" w:leader="dot"/>
            </w:tabs>
            <w:ind w:left="220"/>
          </w:pPr>
          <w:hyperlink w:history="1" w:anchor="_Toc17">
            <w:r>
              <w:t xml:space="preserve">6.9 Account deletion</w:t>
            </w:r>
            <w:r>
              <w:tab/>
            </w:r>
            <w:r>
              <w:fldChar w:fldCharType="begin" w:dirty="true"/>
              <w:instrText xml:space="preserve">PAGEREF _Toc17 \h</w:instrText>
              <w:fldChar w:fldCharType="separate"/>
              <w:fldChar w:fldCharType="end"/>
            </w:r>
          </w:hyperlink>
        </w:p>
        <w:p>
          <w:pPr>
            <w:pStyle w:val="TOC1"/>
            <w:tabs>
              <w:tab w:val="right" w:pos="9306" w:leader="dot"/>
            </w:tabs>
          </w:pPr>
          <w:hyperlink w:history="1" w:anchor="_Toc18">
            <w:r>
              <w:t xml:space="preserve">7. Plans and credits</w:t>
            </w:r>
            <w:r>
              <w:tab/>
            </w:r>
            <w:r>
              <w:fldChar w:fldCharType="begin" w:dirty="true"/>
              <w:instrText xml:space="preserve">PAGEREF _Toc18 \h</w:instrText>
              <w:fldChar w:fldCharType="separate"/>
              <w:fldChar w:fldCharType="end"/>
            </w:r>
          </w:hyperlink>
        </w:p>
        <w:p>
          <w:pPr>
            <w:pStyle w:val="TOC1"/>
            <w:tabs>
              <w:tab w:val="right" w:pos="9306" w:leader="dot"/>
            </w:tabs>
          </w:pPr>
          <w:hyperlink w:history="1" w:anchor="_Toc19">
            <w:r>
              <w:t xml:space="preserve">8. Data model</w:t>
            </w:r>
            <w:r>
              <w:tab/>
            </w:r>
            <w:r>
              <w:fldChar w:fldCharType="begin" w:dirty="true"/>
              <w:instrText xml:space="preserve">PAGEREF _Toc19 \h</w:instrText>
              <w:fldChar w:fldCharType="separate"/>
              <w:fldChar w:fldCharType="end"/>
            </w:r>
          </w:hyperlink>
        </w:p>
        <w:p>
          <w:pPr>
            <w:pStyle w:val="TOC1"/>
            <w:tabs>
              <w:tab w:val="right" w:pos="9306" w:leader="dot"/>
            </w:tabs>
          </w:pPr>
          <w:hyperlink w:history="1" w:anchor="_Toc20">
            <w:r>
              <w:t xml:space="preserve">9. Security</w:t>
            </w:r>
            <w:r>
              <w:tab/>
            </w:r>
            <w:r>
              <w:fldChar w:fldCharType="begin" w:dirty="true"/>
              <w:instrText xml:space="preserve">PAGEREF _Toc20 \h</w:instrText>
              <w:fldChar w:fldCharType="separate"/>
              <w:fldChar w:fldCharType="end"/>
            </w:r>
          </w:hyperlink>
        </w:p>
        <w:p>
          <w:pPr>
            <w:pStyle w:val="TOC1"/>
            <w:tabs>
              <w:tab w:val="right" w:pos="9306" w:leader="dot"/>
            </w:tabs>
          </w:pPr>
          <w:hyperlink w:history="1" w:anchor="_Toc21">
            <w:r>
              <w:t xml:space="preserve">10. API reference</w:t>
            </w:r>
            <w:r>
              <w:tab/>
            </w:r>
            <w:r>
              <w:fldChar w:fldCharType="begin" w:dirty="true"/>
              <w:instrText xml:space="preserve">PAGEREF _Toc21 \h</w:instrText>
              <w:fldChar w:fldCharType="separate"/>
              <w:fldChar w:fldCharType="end"/>
            </w:r>
          </w:hyperlink>
        </w:p>
        <w:p>
          <w:pPr>
            <w:pStyle w:val="TOC1"/>
            <w:tabs>
              <w:tab w:val="right" w:pos="9306" w:leader="dot"/>
            </w:tabs>
          </w:pPr>
          <w:hyperlink w:history="1" w:anchor="_Toc22">
            <w:r>
              <w:t xml:space="preserve">11. Deployment and operations</w:t>
            </w:r>
            <w:r>
              <w:tab/>
            </w:r>
            <w:r>
              <w:fldChar w:fldCharType="begin" w:dirty="true"/>
              <w:instrText xml:space="preserve">PAGEREF _Toc22 \h</w:instrText>
              <w:fldChar w:fldCharType="separate"/>
              <w:fldChar w:fldCharType="end"/>
            </w:r>
          </w:hyperlink>
        </w:p>
        <w:p>
          <w:pPr>
            <w:pStyle w:val="TOC1"/>
            <w:tabs>
              <w:tab w:val="right" w:pos="9306" w:leader="dot"/>
            </w:tabs>
          </w:pPr>
          <w:hyperlink w:history="1" w:anchor="_Toc23">
            <w:r>
              <w:t xml:space="preserve">12. Testing</w:t>
            </w:r>
            <w:r>
              <w:tab/>
            </w:r>
            <w:r>
              <w:fldChar w:fldCharType="begin" w:dirty="true"/>
              <w:instrText xml:space="preserve">PAGEREF _Toc23 \h</w:instrText>
              <w:fldChar w:fldCharType="separate"/>
              <w:fldChar w:fldCharType="end"/>
            </w:r>
          </w:hyperlink>
        </w:p>
        <w:p>
          <w:pPr>
            <w:pStyle w:val="TOC1"/>
            <w:tabs>
              <w:tab w:val="right" w:pos="9306" w:leader="dot"/>
            </w:tabs>
          </w:pPr>
          <w:hyperlink w:history="1" w:anchor="_Toc24">
            <w:r>
              <w:t xml:space="preserve">13. Status and next steps</w:t>
            </w:r>
            <w:r>
              <w:tab/>
            </w:r>
            <w:r>
              <w:fldChar w:fldCharType="begin" w:dirty="true"/>
              <w:instrText xml:space="preserve">PAGEREF _Toc24 \h</w:instrText>
              <w:fldChar w:fldCharType="separate"/>
              <w:fldChar w:fldCharType="end"/>
            </w:r>
          </w:hyperlink>
        </w:p>
        <w:p>
          <w:pPr>
            <w:pStyle w:val="TOC2"/>
            <w:tabs>
              <w:tab w:val="right" w:pos="9306" w:leader="dot"/>
            </w:tabs>
            <w:ind w:left="220"/>
          </w:pPr>
          <w:hyperlink w:history="1" w:anchor="_Toc25">
            <w:r>
              <w:t xml:space="preserve">13.1 Before taking real money</w:t>
            </w:r>
            <w:r>
              <w:tab/>
            </w:r>
            <w:r>
              <w:fldChar w:fldCharType="begin" w:dirty="true"/>
              <w:instrText xml:space="preserve">PAGEREF _Toc25 \h</w:instrText>
              <w:fldChar w:fldCharType="separate"/>
              <w:fldChar w:fldCharType="end"/>
            </w:r>
          </w:hyperlink>
        </w:p>
        <w:p>
          <w:pPr>
            <w:pStyle w:val="TOC2"/>
            <w:tabs>
              <w:tab w:val="right" w:pos="9306" w:leader="dot"/>
            </w:tabs>
            <w:ind w:left="220"/>
          </w:pPr>
          <w:hyperlink w:history="1" w:anchor="_Toc26">
            <w:r>
              <w:t xml:space="preserve">13.2 Reliability</w:t>
            </w:r>
            <w:r>
              <w:tab/>
            </w:r>
            <w:r>
              <w:fldChar w:fldCharType="begin" w:dirty="true"/>
              <w:instrText xml:space="preserve">PAGEREF _Toc26 \h</w:instrText>
              <w:fldChar w:fldCharType="separate"/>
              <w:fldChar w:fldCharType="end"/>
            </w:r>
          </w:hyperlink>
        </w:p>
        <w:p>
          <w:pPr>
            <w:pStyle w:val="TOC2"/>
            <w:tabs>
              <w:tab w:val="right" w:pos="9306" w:leader="dot"/>
            </w:tabs>
            <w:ind w:left="220"/>
          </w:pPr>
          <w:hyperlink w:history="1" w:anchor="_Toc27">
            <w:r>
              <w:t xml:space="preserve">13.3 Product and growth</w:t>
            </w:r>
            <w:r>
              <w:tab/>
            </w:r>
            <w:r>
              <w:fldChar w:fldCharType="begin" w:dirty="true"/>
              <w:instrText xml:space="preserve">PAGEREF _Toc27 \h</w:instrText>
              <w:fldChar w:fldCharType="separate"/>
              <w:fldChar w:fldCharType="end"/>
            </w:r>
          </w:hyperlink>
        </w:p>
        <w:p>
          <w:pPr>
            <w:pStyle w:val="TOC1"/>
            <w:tabs>
              <w:tab w:val="right" w:pos="9306" w:leader="dot"/>
            </w:tabs>
          </w:pPr>
          <w:hyperlink w:history="1" w:anchor="_Toc28">
            <w:r>
              <w:t xml:space="preserve">Appendix: diagrams</w:t>
            </w:r>
            <w:r>
              <w:tab/>
            </w:r>
            <w:r>
              <w:fldChar w:fldCharType="begin" w:dirty="true"/>
              <w:instrText xml:space="preserve">PAGEREF _Toc28 \h</w:instrText>
              <w:fldChar w:fldCharType="separate"/>
              <w:fldChar w:fldCharType="end"/>
            </w:r>
          </w:hyperlink>
        </w:p>
        <w:p>
          <w:r>
            <w:fldChar w:fldCharType="end"/>
          </w:r>
        </w:p>
      </w:sdtContent>
    </w:sdt>
    <w:p>
      <w:pPr>
        <w:spacing w:after="120" w:line="288"/>
      </w:pPr>
      <w:r>
        <w:rPr>
          <w:rFonts w:ascii="Calibri" w:cs="Calibri" w:eastAsia="Calibri" w:hAnsi="Calibri"/>
          <w:i/>
          <w:iCs/>
          <w:color w:val="4B5563"/>
          <w:sz w:val="18"/>
          <w:szCs w:val="18"/>
        </w:rPr>
        <w:t xml:space="preserve">If the list is empty, right-click it in Word and choose Update Field.</w:t>
      </w:r>
    </w:p>
    <w:p>
      <w:pPr>
        <w:pStyle w:val="Heading1"/>
        <w:pageBreakBefore/>
      </w:pPr>
      <w:bookmarkStart w:name="_Toc2" w:id="2"/>
      <w:r>
        <w:rPr>
          <w:rFonts w:ascii="Calibri" w:cs="Calibri" w:eastAsia="Calibri" w:hAnsi="Calibri"/>
        </w:rPr>
        <w:t xml:space="preserve">1. Summary</w:t>
      </w:r>
      <w:bookmarkEnd w:id="2"/>
    </w:p>
    <w:p>
      <w:pPr>
        <w:spacing w:after="120" w:line="288"/>
      </w:pPr>
      <w:r>
        <w:rPr>
          <w:rFonts w:ascii="Calibri" w:cs="Calibri" w:eastAsia="Calibri" w:hAnsi="Calibri"/>
          <w:color w:val="1F2937"/>
          <w:sz w:val="21"/>
          <w:szCs w:val="21"/>
        </w:rPr>
        <w:t xml:space="preserve">Rankwise audits a website for classic search (SEO), answer engines (AEO) and AI assistants (GEO), measures speed and accessibility, ranks every issue by what it is worth, gives ready-to-paste fixes, and keeps watching the site afterwards. Users sign up, add websites, run audits with monthly credits, and pay for larger plans through Razorpay.</w:t>
      </w:r>
    </w:p>
    <w:p>
      <w:pPr>
        <w:spacing w:after="120" w:line="288"/>
      </w:pPr>
      <w:r>
        <w:rPr>
          <w:rFonts w:ascii="Calibri" w:cs="Calibri" w:eastAsia="Calibri" w:hAnsi="Calibri"/>
          <w:color w:val="1F2937"/>
          <w:sz w:val="21"/>
          <w:szCs w:val="21"/>
        </w:rPr>
        <w:t xml:space="preserve">This document records the work done on the codebase and describes the system as it stands: folders, technology, architecture, every major workflow, the data model, security, deployment, testing and what is left to do.</w:t>
      </w:r>
    </w:p>
    <w:p>
      <w:pPr>
        <w:pStyle w:val="Heading2"/>
      </w:pPr>
      <w:bookmarkStart w:name="_Toc3" w:id="3"/>
      <w:r>
        <w:rPr>
          <w:rFonts w:ascii="Calibri" w:cs="Calibri" w:eastAsia="Calibri" w:hAnsi="Calibri"/>
        </w:rPr>
        <w:t xml:space="preserve">1.1 What was delivered</w:t>
      </w:r>
      <w:bookmarkEnd w:id="3"/>
    </w:p>
    <w:p>
      <w:pPr>
        <w:pStyle w:val="ListParagraph"/>
        <w:numPr>
          <w:ilvl w:val="0"/>
          <w:numId w:val="2"/>
        </w:numPr>
        <w:spacing w:after="60" w:line="276"/>
      </w:pPr>
      <w:r>
        <w:rPr>
          <w:rFonts w:ascii="Calibri" w:cs="Calibri" w:eastAsia="Calibri" w:hAnsi="Calibri"/>
          <w:b/>
          <w:bCs/>
          <w:color w:val="1F2937"/>
          <w:sz w:val="21"/>
          <w:szCs w:val="21"/>
        </w:rPr>
        <w:t xml:space="preserve">Credit-based plans. </w:t>
      </w:r>
      <w:r>
        <w:rPr>
          <w:rFonts w:ascii="Calibri" w:cs="Calibri" w:eastAsia="Calibri" w:hAnsi="Calibri"/>
          <w:color w:val="1F2937"/>
          <w:sz w:val="21"/>
          <w:szCs w:val="21"/>
        </w:rPr>
        <w:t xml:space="preserve">Free, Pro, Business and Scale with monthly full-audit credits, website limits and daily light-check allowances, defined once on the server.</w:t>
      </w:r>
    </w:p>
    <w:p>
      <w:pPr>
        <w:pStyle w:val="ListParagraph"/>
        <w:numPr>
          <w:ilvl w:val="0"/>
          <w:numId w:val="2"/>
        </w:numPr>
        <w:spacing w:after="60" w:line="276"/>
      </w:pPr>
      <w:r>
        <w:rPr>
          <w:rFonts w:ascii="Calibri" w:cs="Calibri" w:eastAsia="Calibri" w:hAnsi="Calibri"/>
          <w:b/>
          <w:bCs/>
          <w:color w:val="1F2937"/>
          <w:sz w:val="21"/>
          <w:szCs w:val="21"/>
        </w:rPr>
        <w:t xml:space="preserve">Credit ledger. </w:t>
      </w:r>
      <w:r>
        <w:rPr>
          <w:rFonts w:ascii="Calibri" w:cs="Calibri" w:eastAsia="Calibri" w:hAnsi="Calibri"/>
          <w:color w:val="1F2937"/>
          <w:sz w:val="21"/>
          <w:szCs w:val="21"/>
        </w:rPr>
        <w:t xml:space="preserve">Reserves, captures and refunds credits atomically, never charges the same request twice, and stays correct under concurrent requests.</w:t>
      </w:r>
    </w:p>
    <w:p>
      <w:pPr>
        <w:pStyle w:val="ListParagraph"/>
        <w:numPr>
          <w:ilvl w:val="0"/>
          <w:numId w:val="2"/>
        </w:numPr>
        <w:spacing w:after="60" w:line="276"/>
      </w:pPr>
      <w:r>
        <w:rPr>
          <w:rFonts w:ascii="Calibri" w:cs="Calibri" w:eastAsia="Calibri" w:hAnsi="Calibri"/>
          <w:b/>
          <w:bCs/>
          <w:color w:val="1F2937"/>
          <w:sz w:val="21"/>
          <w:szCs w:val="21"/>
        </w:rPr>
        <w:t xml:space="preserve">Metered audits. </w:t>
      </w:r>
      <w:r>
        <w:rPr>
          <w:rFonts w:ascii="Calibri" w:cs="Calibri" w:eastAsia="Calibri" w:hAnsi="Calibri"/>
          <w:color w:val="1F2937"/>
          <w:sz w:val="21"/>
          <w:szCs w:val="21"/>
        </w:rPr>
        <w:t xml:space="preserve">Manual, deep, deploy-triggered and scheduled audits all use credits; monitoring uses free light checks; the anonymous preview is limited per visitor.</w:t>
      </w:r>
    </w:p>
    <w:p>
      <w:pPr>
        <w:pStyle w:val="ListParagraph"/>
        <w:numPr>
          <w:ilvl w:val="0"/>
          <w:numId w:val="2"/>
        </w:numPr>
        <w:spacing w:after="60" w:line="276"/>
      </w:pPr>
      <w:r>
        <w:rPr>
          <w:rFonts w:ascii="Calibri" w:cs="Calibri" w:eastAsia="Calibri" w:hAnsi="Calibri"/>
          <w:b/>
          <w:bCs/>
          <w:color w:val="1F2937"/>
          <w:sz w:val="21"/>
          <w:szCs w:val="21"/>
        </w:rPr>
        <w:t xml:space="preserve">Razorpay payments. </w:t>
      </w:r>
      <w:r>
        <w:rPr>
          <w:rFonts w:ascii="Calibri" w:cs="Calibri" w:eastAsia="Calibri" w:hAnsi="Calibri"/>
          <w:color w:val="1F2937"/>
          <w:sz w:val="21"/>
          <w:szCs w:val="21"/>
        </w:rPr>
        <w:t xml:space="preserve">Subscriptions with upgrades and downgrades, one-time credit packs, payment history and a hardened webhook.</w:t>
      </w:r>
    </w:p>
    <w:p>
      <w:pPr>
        <w:pStyle w:val="ListParagraph"/>
        <w:numPr>
          <w:ilvl w:val="0"/>
          <w:numId w:val="2"/>
        </w:numPr>
        <w:spacing w:after="60" w:line="276"/>
      </w:pPr>
      <w:r>
        <w:rPr>
          <w:rFonts w:ascii="Calibri" w:cs="Calibri" w:eastAsia="Calibri" w:hAnsi="Calibri"/>
          <w:b/>
          <w:bCs/>
          <w:color w:val="1F2937"/>
          <w:sz w:val="21"/>
          <w:szCs w:val="21"/>
        </w:rPr>
        <w:t xml:space="preserve">Website and app UI. </w:t>
      </w:r>
      <w:r>
        <w:rPr>
          <w:rFonts w:ascii="Calibri" w:cs="Calibri" w:eastAsia="Calibri" w:hAnsi="Calibri"/>
          <w:color w:val="1F2937"/>
          <w:sz w:val="21"/>
          <w:szCs w:val="21"/>
        </w:rPr>
        <w:t xml:space="preserve">Four-plan pricing page, billing dashboard (credits, usage, payments, plan changes, account deletion), credit-aware audit buttons.</w:t>
      </w:r>
    </w:p>
    <w:p>
      <w:pPr>
        <w:pStyle w:val="ListParagraph"/>
        <w:numPr>
          <w:ilvl w:val="0"/>
          <w:numId w:val="2"/>
        </w:numPr>
        <w:spacing w:after="60" w:line="276"/>
      </w:pPr>
      <w:r>
        <w:rPr>
          <w:rFonts w:ascii="Calibri" w:cs="Calibri" w:eastAsia="Calibri" w:hAnsi="Calibri"/>
          <w:b/>
          <w:bCs/>
          <w:color w:val="1F2937"/>
          <w:sz w:val="21"/>
          <w:szCs w:val="21"/>
        </w:rPr>
        <w:t xml:space="preserve">Security. </w:t>
      </w:r>
      <w:r>
        <w:rPr>
          <w:rFonts w:ascii="Calibri" w:cs="Calibri" w:eastAsia="Calibri" w:hAnsi="Calibri"/>
          <w:color w:val="1F2937"/>
          <w:sz w:val="21"/>
          <w:szCs w:val="21"/>
        </w:rPr>
        <w:t xml:space="preserve">Private-network guards for the fetcher and the headless browser, DNS-rebinding protection, security headers, database-backed sign-in rate limits.</w:t>
      </w:r>
    </w:p>
    <w:p>
      <w:pPr>
        <w:pStyle w:val="ListParagraph"/>
        <w:numPr>
          <w:ilvl w:val="0"/>
          <w:numId w:val="2"/>
        </w:numPr>
        <w:spacing w:after="60" w:line="276"/>
      </w:pPr>
      <w:r>
        <w:rPr>
          <w:rFonts w:ascii="Calibri" w:cs="Calibri" w:eastAsia="Calibri" w:hAnsi="Calibri"/>
          <w:b/>
          <w:bCs/>
          <w:color w:val="1F2937"/>
          <w:sz w:val="21"/>
          <w:szCs w:val="21"/>
        </w:rPr>
        <w:t xml:space="preserve">Legal pages. </w:t>
      </w:r>
      <w:r>
        <w:rPr>
          <w:rFonts w:ascii="Calibri" w:cs="Calibri" w:eastAsia="Calibri" w:hAnsi="Calibri"/>
          <w:color w:val="1F2937"/>
          <w:sz w:val="21"/>
          <w:szCs w:val="21"/>
        </w:rPr>
        <w:t xml:space="preserve">Privacy, cookies, terms, refund policy and contact, written from what the code actually does.</w:t>
      </w:r>
    </w:p>
    <w:p>
      <w:pPr>
        <w:pStyle w:val="ListParagraph"/>
        <w:numPr>
          <w:ilvl w:val="0"/>
          <w:numId w:val="2"/>
        </w:numPr>
        <w:spacing w:after="60" w:line="276"/>
      </w:pPr>
      <w:r>
        <w:rPr>
          <w:rFonts w:ascii="Calibri" w:cs="Calibri" w:eastAsia="Calibri" w:hAnsi="Calibri"/>
          <w:b/>
          <w:bCs/>
          <w:color w:val="1F2937"/>
          <w:sz w:val="21"/>
          <w:szCs w:val="21"/>
        </w:rPr>
        <w:t xml:space="preserve">Deployment. </w:t>
      </w:r>
      <w:r>
        <w:rPr>
          <w:rFonts w:ascii="Calibri" w:cs="Calibri" w:eastAsia="Calibri" w:hAnsi="Calibri"/>
          <w:color w:val="1F2937"/>
          <w:sz w:val="21"/>
          <w:szCs w:val="21"/>
        </w:rPr>
        <w:t xml:space="preserve">Website on Vercel, API on Render, database on Neon, with the configuration fixes that connect them.</w:t>
      </w:r>
    </w:p>
    <w:p>
      <w:pPr>
        <w:pStyle w:val="Heading1"/>
        <w:pageBreakBefore/>
      </w:pPr>
      <w:bookmarkStart w:name="_Toc4" w:id="4"/>
      <w:r>
        <w:rPr>
          <w:rFonts w:ascii="Calibri" w:cs="Calibri" w:eastAsia="Calibri" w:hAnsi="Calibri"/>
        </w:rPr>
        <w:t xml:space="preserve">2. Work log</w:t>
      </w:r>
      <w:bookmarkEnd w:id="4"/>
    </w:p>
    <w:p>
      <w:pPr>
        <w:spacing w:after="120" w:line="288"/>
      </w:pPr>
      <w:r>
        <w:rPr>
          <w:rFonts w:ascii="Calibri" w:cs="Calibri" w:eastAsia="Calibri" w:hAnsi="Calibri"/>
          <w:color w:val="1F2937"/>
          <w:sz w:val="21"/>
          <w:szCs w:val="21"/>
        </w:rPr>
        <w:t xml:space="preserve">Every change below is a commit on the main branch, in order.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60"/>
        <w:gridCol w:w="7546"/>
      </w:tblGrid>
      <w:tr>
        <w:trPr>
          <w:tblHeader/>
        </w:trPr>
        <w:tc>
          <w:tcPr>
            <w:tcW w:type="dxa" w:w="17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Commit</w:t>
            </w:r>
          </w:p>
        </w:tc>
        <w:tc>
          <w:tcPr>
            <w:tcW w:type="dxa" w:w="7546"/>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Change</w:t>
            </w:r>
          </w:p>
        </w:tc>
      </w:tr>
      <w:tr>
        <w:tc>
          <w:tcPr>
            <w:tcW w:type="dxa" w:w="1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6580a8b</w:t>
            </w:r>
          </w:p>
        </w:tc>
        <w:tc>
          <w:tcPr>
            <w:tcW w:type="dxa" w:w="75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README: resolved a leftover merge conflict and refreshed the 'not built yet' list.</w:t>
            </w:r>
          </w:p>
        </w:tc>
      </w:tr>
      <w:tr>
        <w:tc>
          <w:tcPr>
            <w:tcW w:type="dxa" w:w="17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3af4f3a</w:t>
            </w:r>
          </w:p>
        </w:tc>
        <w:tc>
          <w:tcPr>
            <w:tcW w:type="dxa" w:w="754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Visual Doctor screenshots can be stored in Neon Object Storage instead of the container disk.</w:t>
            </w:r>
          </w:p>
        </w:tc>
      </w:tr>
      <w:tr>
        <w:tc>
          <w:tcPr>
            <w:tcW w:type="dxa" w:w="1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108334d</w:t>
            </w:r>
          </w:p>
        </w:tc>
        <w:tc>
          <w:tcPr>
            <w:tcW w:type="dxa" w:w="75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Broke an import cycle between the app shell, monitoring and site pages.</w:t>
            </w:r>
          </w:p>
        </w:tc>
      </w:tr>
      <w:tr>
        <w:tc>
          <w:tcPr>
            <w:tcW w:type="dxa" w:w="17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68fadb6</w:t>
            </w:r>
          </w:p>
        </w:tc>
        <w:tc>
          <w:tcPr>
            <w:tcW w:type="dxa" w:w="754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Render service placed in Ohio, next to the Neon database (us-east-2).</w:t>
            </w:r>
          </w:p>
        </w:tc>
      </w:tr>
      <w:tr>
        <w:tc>
          <w:tcPr>
            <w:tcW w:type="dxa" w:w="1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046b68e</w:t>
            </w:r>
          </w:p>
        </w:tc>
        <w:tc>
          <w:tcPr>
            <w:tcW w:type="dxa" w:w="75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Credit-based plans: plan table, credit ledger, metered audits, migration 0002, tests.</w:t>
            </w:r>
          </w:p>
        </w:tc>
      </w:tr>
      <w:tr>
        <w:tc>
          <w:tcPr>
            <w:tcW w:type="dxa" w:w="17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74b14a9</w:t>
            </w:r>
          </w:p>
        </w:tc>
        <w:tc>
          <w:tcPr>
            <w:tcW w:type="dxa" w:w="754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Pricing and billing UI for four plans; light-check and full-audit buttons; honest feature copy.</w:t>
            </w:r>
          </w:p>
        </w:tc>
      </w:tr>
      <w:tr>
        <w:tc>
          <w:tcPr>
            <w:tcW w:type="dxa" w:w="1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714d4f9</w:t>
            </w:r>
          </w:p>
        </w:tc>
        <w:tc>
          <w:tcPr>
            <w:tcW w:type="dxa" w:w="75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Root requirements.txt and .python-version so Render's Python service builds.</w:t>
            </w:r>
          </w:p>
        </w:tc>
      </w:tr>
      <w:tr>
        <w:tc>
          <w:tcPr>
            <w:tcW w:type="dxa" w:w="17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08459f4</w:t>
            </w:r>
          </w:p>
        </w:tc>
        <w:tc>
          <w:tcPr>
            <w:tcW w:type="dxa" w:w="754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Root main.py so Render's 'uvicorn main:app' runs migrations and starts the API.</w:t>
            </w:r>
          </w:p>
        </w:tc>
      </w:tr>
      <w:tr>
        <w:tc>
          <w:tcPr>
            <w:tcW w:type="dxa" w:w="1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4647cfe, fa88bea</w:t>
            </w:r>
          </w:p>
        </w:tc>
        <w:tc>
          <w:tcPr>
            <w:tcW w:type="dxa" w:w="75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CORS: the production frontend origin is always allowed.</w:t>
            </w:r>
          </w:p>
        </w:tc>
      </w:tr>
      <w:tr>
        <w:tc>
          <w:tcPr>
            <w:tcW w:type="dxa" w:w="17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07b707a</w:t>
            </w:r>
          </w:p>
        </w:tc>
        <w:tc>
          <w:tcPr>
            <w:tcW w:type="dxa" w:w="754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Razorpay: plan changes, credit packs, payment history, hardened webhook, payment tests.</w:t>
            </w:r>
          </w:p>
        </w:tc>
      </w:tr>
      <w:tr>
        <w:tc>
          <w:tcPr>
            <w:tcW w:type="dxa" w:w="1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d340c7f</w:t>
            </w:r>
          </w:p>
        </w:tc>
        <w:tc>
          <w:tcPr>
            <w:tcW w:type="dxa" w:w="75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Security: network guard for the headless browser; security headers on every page.</w:t>
            </w:r>
          </w:p>
        </w:tc>
      </w:tr>
      <w:tr>
        <w:tc>
          <w:tcPr>
            <w:tcW w:type="dxa" w:w="17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6f03a0a</w:t>
            </w:r>
          </w:p>
        </w:tc>
        <w:tc>
          <w:tcPr>
            <w:tcW w:type="dxa" w:w="754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Legal pages: privacy, cookies, terms, refund policy, contact.</w:t>
            </w:r>
          </w:p>
        </w:tc>
      </w:tr>
      <w:tr>
        <w:tc>
          <w:tcPr>
            <w:tcW w:type="dxa" w:w="17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0ad5b16</w:t>
            </w:r>
          </w:p>
        </w:tc>
        <w:tc>
          <w:tcPr>
            <w:tcW w:type="dxa" w:w="75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Sign-in rate limits stored in Postgres; stricter on sign-in and sign-up.</w:t>
            </w:r>
          </w:p>
        </w:tc>
      </w:tr>
      <w:tr>
        <w:tc>
          <w:tcPr>
            <w:tcW w:type="dxa" w:w="17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91346b9</w:t>
            </w:r>
          </w:p>
        </w:tc>
        <w:tc>
          <w:tcPr>
            <w:tcW w:type="dxa" w:w="754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Self-serve account deletion with a cascade test.</w:t>
            </w:r>
          </w:p>
        </w:tc>
      </w:tr>
    </w:tbl>
    <w:p>
      <w:pPr>
        <w:spacing w:after="120"/>
      </w:pPr>
    </w:p>
    <w:p>
      <w:pPr>
        <w:spacing w:after="120" w:line="288"/>
      </w:pPr>
      DNS-rebinding protection in the fetcher, the daily data clean-up job, and the CI workflow (GitHub needs the push credential to have the 'workflow' scope).
    </w:p>
    <w:p>
      <w:pPr>
        <w:pStyle w:val="Heading1"/>
        <w:pageBreakBefore/>
      </w:pPr>
      <w:bookmarkStart w:name="_Toc5" w:id="5"/>
      <w:r>
        <w:rPr>
          <w:rFonts w:ascii="Calibri" w:cs="Calibri" w:eastAsia="Calibri" w:hAnsi="Calibri"/>
        </w:rPr>
        <w:t xml:space="preserve">3. Technology stack</w:t>
      </w:r>
      <w:bookmarkEnd w:id="5"/>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57"/>
        <w:gridCol w:w="3441"/>
        <w:gridCol w:w="4208"/>
      </w:tblGrid>
      <w:tr>
        <w:trPr>
          <w:tblHeader/>
        </w:trPr>
        <w:tc>
          <w:tcPr>
            <w:tcW w:type="dxa" w:w="1657"/>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Layer</w:t>
            </w:r>
          </w:p>
        </w:tc>
        <w:tc>
          <w:tcPr>
            <w:tcW w:type="dxa" w:w="3441"/>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Technology</w:t>
            </w:r>
          </w:p>
        </w:tc>
        <w:tc>
          <w:tcPr>
            <w:tcW w:type="dxa" w:w="4208"/>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Notes</w:t>
            </w:r>
          </w:p>
        </w:tc>
      </w:tr>
      <w:tr>
        <w:tc>
          <w:tcPr>
            <w:tcW w:type="dxa" w:w="16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Frontend</w:t>
            </w:r>
          </w:p>
        </w:tc>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Next.js 16 (App Router), React 19, TypeScript</w:t>
            </w:r>
          </w:p>
        </w:tc>
        <w:tc>
          <w:tcPr>
            <w:tcW w:type="dxa" w:w="420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Turbopack, Cache Components, partial prerendering</w:t>
            </w:r>
          </w:p>
        </w:tc>
      </w:tr>
      <w:tr>
        <w:tc>
          <w:tcPr>
            <w:tcW w:type="dxa" w:w="165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Styling</w:t>
            </w:r>
          </w:p>
        </w:tc>
        <w:tc>
          <w:tcPr>
            <w:tcW w:type="dxa" w:w="3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Tailwind CSS v4, Framer Motion, lucide-react, Radix UI</w:t>
            </w:r>
          </w:p>
        </w:tc>
        <w:tc>
          <w:tcPr>
            <w:tcW w:type="dxa" w:w="42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Black and purple brand; Inter Tight, Google Sans, JetBrains Mono</w:t>
            </w:r>
          </w:p>
        </w:tc>
      </w:tr>
      <w:tr>
        <w:tc>
          <w:tcPr>
            <w:tcW w:type="dxa" w:w="16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Auth</w:t>
            </w:r>
          </w:p>
        </w:tc>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Better Auth 1.7 (email + password)</w:t>
            </w:r>
          </w:p>
        </w:tc>
        <w:tc>
          <w:tcPr>
            <w:tcW w:type="dxa" w:w="420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Runs in Next.js; sessions in Postgres; FastAPI validates the cookie</w:t>
            </w:r>
          </w:p>
        </w:tc>
      </w:tr>
      <w:tr>
        <w:tc>
          <w:tcPr>
            <w:tcW w:type="dxa" w:w="165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Backend</w:t>
            </w:r>
          </w:p>
        </w:tc>
        <w:tc>
          <w:tcPr>
            <w:tcW w:type="dxa" w:w="3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FastAPI, Python 3.13, Uvicorn</w:t>
            </w:r>
          </w:p>
        </w:tc>
        <w:tc>
          <w:tcPr>
            <w:tcW w:type="dxa" w:w="42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Async throughout; 33 API routes</w:t>
            </w:r>
          </w:p>
        </w:tc>
      </w:tr>
      <w:tr>
        <w:tc>
          <w:tcPr>
            <w:tcW w:type="dxa" w:w="16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Database</w:t>
            </w:r>
          </w:p>
        </w:tc>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PostgreSQL on Neon (us-east-2)</w:t>
            </w:r>
          </w:p>
        </w:tc>
        <w:tc>
          <w:tcPr>
            <w:tcW w:type="dxa" w:w="420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SQLAlchemy 2 async + asyncpg; Alembic; 23 tables</w:t>
            </w:r>
          </w:p>
        </w:tc>
      </w:tr>
      <w:tr>
        <w:tc>
          <w:tcPr>
            <w:tcW w:type="dxa" w:w="165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Background work</w:t>
            </w:r>
          </w:p>
        </w:tc>
        <w:tc>
          <w:tcPr>
            <w:tcW w:type="dxa" w:w="3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Postgres job queue + embedded worker</w:t>
            </w:r>
          </w:p>
        </w:tc>
        <w:tc>
          <w:tcPr>
            <w:tcW w:type="dxa" w:w="42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FOR UPDATE SKIP LOCKED; scheduler inside the API on Render</w:t>
            </w:r>
          </w:p>
        </w:tc>
      </w:tr>
      <w:tr>
        <w:tc>
          <w:tcPr>
            <w:tcW w:type="dxa" w:w="16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Audit engine</w:t>
            </w:r>
          </w:p>
        </w:tc>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httpx, BeautifulSoup/lxml, Playwright + axe-core</w:t>
            </w:r>
          </w:p>
        </w:tc>
        <w:tc>
          <w:tcPr>
            <w:tcW w:type="dxa" w:w="420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SEO/AEO/GEO rules; Speed via Google PageSpeed; accessibility in headless Chromium</w:t>
            </w:r>
          </w:p>
        </w:tc>
      </w:tr>
      <w:tr>
        <w:tc>
          <w:tcPr>
            <w:tcW w:type="dxa" w:w="165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Payments</w:t>
            </w:r>
          </w:p>
        </w:tc>
        <w:tc>
          <w:tcPr>
            <w:tcW w:type="dxa" w:w="3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Razorpay Subscriptions and Orders</w:t>
            </w:r>
          </w:p>
        </w:tc>
        <w:tc>
          <w:tcPr>
            <w:tcW w:type="dxa" w:w="42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Server-side prices; HMAC-verified checkout and webhooks</w:t>
            </w:r>
          </w:p>
        </w:tc>
      </w:tr>
      <w:tr>
        <w:tc>
          <w:tcPr>
            <w:tcW w:type="dxa" w:w="16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Optional</w:t>
            </w:r>
          </w:p>
        </w:tc>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OpenRouter (AI), DataForSEO (traffic)</w:t>
            </w:r>
          </w:p>
        </w:tc>
        <w:tc>
          <w:tcPr>
            <w:tcW w:type="dxa" w:w="420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Off unless their keys are configured</w:t>
            </w:r>
          </w:p>
        </w:tc>
      </w:tr>
      <w:tr>
        <w:tc>
          <w:tcPr>
            <w:tcW w:type="dxa" w:w="165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Hosting</w:t>
            </w:r>
          </w:p>
        </w:tc>
        <w:tc>
          <w:tcPr>
            <w:tcW w:type="dxa" w:w="3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Vercel, Render, Neon</w:t>
            </w:r>
          </w:p>
        </w:tc>
        <w:tc>
          <w:tcPr>
            <w:tcW w:type="dxa" w:w="420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Free tiers; Docker and Cloudflare builds also kept</w:t>
            </w:r>
          </w:p>
        </w:tc>
      </w:tr>
      <w:tr>
        <w:tc>
          <w:tcPr>
            <w:tcW w:type="dxa" w:w="165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Testing</w:t>
            </w:r>
          </w:p>
        </w:tc>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pytest + pytest-asyncio on a disposable Postgres</w:t>
            </w:r>
          </w:p>
        </w:tc>
        <w:tc>
          <w:tcPr>
            <w:tcW w:type="dxa" w:w="420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Backend suite; frontend typecheck, lint, build</w:t>
            </w:r>
          </w:p>
        </w:tc>
      </w:tr>
    </w:tbl>
    <w:p>
      <w:pPr>
        <w:pStyle w:val="Heading1"/>
        <w:pageBreakBefore/>
      </w:pPr>
      <w:bookmarkStart w:name="_Toc6" w:id="6"/>
      <w:r>
        <w:rPr>
          <w:rFonts w:ascii="Calibri" w:cs="Calibri" w:eastAsia="Calibri" w:hAnsi="Calibri"/>
        </w:rPr>
        <w:t xml:space="preserve">4. Folder structure</w:t>
      </w:r>
      <w:bookmarkEnd w:id="6"/>
    </w:p>
    <w:p>
      <w:pPr>
        <w:spacing w:after="120" w:line="288"/>
      </w:pPr>
      <w:r>
        <w:rPr>
          <w:rFonts w:ascii="Calibri" w:cs="Calibri" w:eastAsia="Calibri" w:hAnsi="Calibri"/>
          <w:color w:val="1F2937"/>
          <w:sz w:val="21"/>
          <w:szCs w:val="21"/>
        </w:rPr>
        <w:t xml:space="preserve">The repository holds two applications, the Next.js website and the FastAPI API, plus deployment files at the root.</w:t>
      </w:r>
    </w:p>
    <w:p>
      <w:pPr>
        <w:shd w:fill="F3F4F6" w:color="auto" w:val="clear"/>
        <w:spacing w:after="0" w:line="240"/>
      </w:pPr>
      <w:r>
        <w:rPr>
          <w:rFonts w:ascii="Consolas" w:cs="Consolas" w:eastAsia="Consolas" w:hAnsi="Consolas"/>
          <w:color w:val="1F2937"/>
          <w:sz w:val="17"/>
          <w:szCs w:val="17"/>
        </w:rPr>
        <w:t xml:space="preserve">neww/</w:t>
      </w:r>
    </w:p>
    <w:p>
      <w:pPr>
        <w:shd w:fill="F3F4F6" w:color="auto" w:val="clear"/>
        <w:spacing w:after="0" w:line="240"/>
      </w:pPr>
      <w:r>
        <w:rPr>
          <w:rFonts w:ascii="Consolas" w:cs="Consolas" w:eastAsia="Consolas" w:hAnsi="Consolas"/>
          <w:color w:val="1F2937"/>
          <w:sz w:val="17"/>
          <w:szCs w:val="17"/>
        </w:rPr>
        <w:t xml:space="preserve">├─ frontend/                    Next.js website + app (Vercel)</w:t>
      </w:r>
    </w:p>
    <w:p>
      <w:pPr>
        <w:shd w:fill="F3F4F6" w:color="auto" w:val="clear"/>
        <w:spacing w:after="0" w:line="240"/>
      </w:pPr>
      <w:r>
        <w:rPr>
          <w:rFonts w:ascii="Consolas" w:cs="Consolas" w:eastAsia="Consolas" w:hAnsi="Consolas"/>
          <w:color w:val="1F2937"/>
          <w:sz w:val="17"/>
          <w:szCs w:val="17"/>
        </w:rPr>
        <w:t xml:space="preserve">│  ├─ src/app/(marketing)/      home, features, pricing, audit preview, legal pages</w:t>
      </w:r>
    </w:p>
    <w:p>
      <w:pPr>
        <w:shd w:fill="F3F4F6" w:color="auto" w:val="clear"/>
        <w:spacing w:after="0" w:line="240"/>
      </w:pPr>
      <w:r>
        <w:rPr>
          <w:rFonts w:ascii="Consolas" w:cs="Consolas" w:eastAsia="Consolas" w:hAnsi="Consolas"/>
          <w:color w:val="1F2937"/>
          <w:sz w:val="17"/>
          <w:szCs w:val="17"/>
        </w:rPr>
        <w:t xml:space="preserve">│  ├─ src/app/(auth)/           login, signup</w:t>
      </w:r>
    </w:p>
    <w:p>
      <w:pPr>
        <w:shd w:fill="F3F4F6" w:color="auto" w:val="clear"/>
        <w:spacing w:after="0" w:line="240"/>
      </w:pPr>
      <w:r>
        <w:rPr>
          <w:rFonts w:ascii="Consolas" w:cs="Consolas" w:eastAsia="Consolas" w:hAnsi="Consolas"/>
          <w:color w:val="1F2937"/>
          <w:sz w:val="17"/>
          <w:szCs w:val="17"/>
        </w:rPr>
        <w:t xml:space="preserve">│  ├─ src/app/app/              workspace: sites, issues, links, monitoring, settings, billing</w:t>
      </w:r>
    </w:p>
    <w:p>
      <w:pPr>
        <w:shd w:fill="F3F4F6" w:color="auto" w:val="clear"/>
        <w:spacing w:after="0" w:line="240"/>
      </w:pPr>
      <w:r>
        <w:rPr>
          <w:rFonts w:ascii="Consolas" w:cs="Consolas" w:eastAsia="Consolas" w:hAnsi="Consolas"/>
          <w:color w:val="1F2937"/>
          <w:sz w:val="17"/>
          <w:szCs w:val="17"/>
        </w:rPr>
        <w:t xml:space="preserve">│  ├─ src/app/api/auth/         Better Auth route handler</w:t>
      </w:r>
    </w:p>
    <w:p>
      <w:pPr>
        <w:shd w:fill="F3F4F6" w:color="auto" w:val="clear"/>
        <w:spacing w:after="0" w:line="240"/>
      </w:pPr>
      <w:r>
        <w:rPr>
          <w:rFonts w:ascii="Consolas" w:cs="Consolas" w:eastAsia="Consolas" w:hAnsi="Consolas"/>
          <w:color w:val="1F2937"/>
          <w:sz w:val="17"/>
          <w:szCs w:val="17"/>
        </w:rPr>
        <w:t xml:space="preserve">│  ├─ src/components/           app/, audit/, pricing/, marketing/, ui/, legal-page.tsx</w:t>
      </w:r>
    </w:p>
    <w:p>
      <w:pPr>
        <w:shd w:fill="F3F4F6" w:color="auto" w:val="clear"/>
        <w:spacing w:after="0" w:line="240"/>
      </w:pPr>
      <w:r>
        <w:rPr>
          <w:rFonts w:ascii="Consolas" w:cs="Consolas" w:eastAsia="Consolas" w:hAnsi="Consolas"/>
          <w:color w:val="1F2937"/>
          <w:sz w:val="17"/>
          <w:szCs w:val="17"/>
        </w:rPr>
        <w:t xml:space="preserve">│  ├─ src/lib/                  api, auth, plans, company, features, types</w:t>
      </w:r>
    </w:p>
    <w:p>
      <w:pPr>
        <w:shd w:fill="F3F4F6" w:color="auto" w:val="clear"/>
        <w:spacing w:after="0" w:line="240"/>
      </w:pPr>
      <w:r>
        <w:rPr>
          <w:rFonts w:ascii="Consolas" w:cs="Consolas" w:eastAsia="Consolas" w:hAnsi="Consolas"/>
          <w:color w:val="1F2937"/>
          <w:sz w:val="17"/>
          <w:szCs w:val="17"/>
        </w:rPr>
        <w:t xml:space="preserve">│  ├─ src/proxy.ts              sign-in gate for /app/*</w:t>
      </w:r>
    </w:p>
    <w:p>
      <w:pPr>
        <w:shd w:fill="F3F4F6" w:color="auto" w:val="clear"/>
        <w:spacing w:after="0" w:line="240"/>
      </w:pPr>
      <w:r>
        <w:rPr>
          <w:rFonts w:ascii="Consolas" w:cs="Consolas" w:eastAsia="Consolas" w:hAnsi="Consolas"/>
          <w:color w:val="1F2937"/>
          <w:sz w:val="17"/>
          <w:szCs w:val="17"/>
        </w:rPr>
        <w:t xml:space="preserve">│  └─ next.config.ts            /api rewrite to the backend + security headers</w:t>
      </w:r>
    </w:p>
    <w:p>
      <w:pPr>
        <w:shd w:fill="F3F4F6" w:color="auto" w:val="clear"/>
        <w:spacing w:after="0" w:line="240"/>
      </w:pPr>
      <w:r>
        <w:rPr>
          <w:rFonts w:ascii="Consolas" w:cs="Consolas" w:eastAsia="Consolas" w:hAnsi="Consolas"/>
          <w:color w:val="1F2937"/>
          <w:sz w:val="17"/>
          <w:szCs w:val="17"/>
        </w:rPr>
        <w:t xml:space="preserve">├─ backend/                     FastAPI API (Render)</w:t>
      </w:r>
    </w:p>
    <w:p>
      <w:pPr>
        <w:shd w:fill="F3F4F6" w:color="auto" w:val="clear"/>
        <w:spacing w:after="0" w:line="240"/>
      </w:pPr>
      <w:r>
        <w:rPr>
          <w:rFonts w:ascii="Consolas" w:cs="Consolas" w:eastAsia="Consolas" w:hAnsi="Consolas"/>
          <w:color w:val="1F2937"/>
          <w:sz w:val="17"/>
          <w:szCs w:val="17"/>
        </w:rPr>
        <w:t xml:space="preserve">│  ├─ app/main.py               app, health, screenshots, anonymous preview</w:t>
      </w:r>
    </w:p>
    <w:p>
      <w:pPr>
        <w:shd w:fill="F3F4F6" w:color="auto" w:val="clear"/>
        <w:spacing w:after="0" w:line="240"/>
      </w:pPr>
      <w:r>
        <w:rPr>
          <w:rFonts w:ascii="Consolas" w:cs="Consolas" w:eastAsia="Consolas" w:hAnsi="Consolas"/>
          <w:color w:val="1F2937"/>
          <w:sz w:val="17"/>
          <w:szCs w:val="17"/>
        </w:rPr>
        <w:t xml:space="preserve">│  ├─ app/routers/              sites, monitoring, billing, content, auth</w:t>
      </w:r>
    </w:p>
    <w:p>
      <w:pPr>
        <w:shd w:fill="F3F4F6" w:color="auto" w:val="clear"/>
        <w:spacing w:after="0" w:line="240"/>
      </w:pPr>
      <w:r>
        <w:rPr>
          <w:rFonts w:ascii="Consolas" w:cs="Consolas" w:eastAsia="Consolas" w:hAnsi="Consolas"/>
          <w:color w:val="1F2937"/>
          <w:sz w:val="17"/>
          <w:szCs w:val="17"/>
        </w:rPr>
        <w:t xml:space="preserve">│  ├─ app/credits.py, plans.py  credit ledger and plan table</w:t>
      </w:r>
    </w:p>
    <w:p>
      <w:pPr>
        <w:shd w:fill="F3F4F6" w:color="auto" w:val="clear"/>
        <w:spacing w:after="0" w:line="240"/>
      </w:pPr>
      <w:r>
        <w:rPr>
          <w:rFonts w:ascii="Consolas" w:cs="Consolas" w:eastAsia="Consolas" w:hAnsi="Consolas"/>
          <w:color w:val="1F2937"/>
          <w:sz w:val="17"/>
          <w:szCs w:val="17"/>
        </w:rPr>
        <w:t xml:space="preserve">│  ├─ app/jobs.py, worker.py    job queue, handlers, scheduler</w:t>
      </w:r>
    </w:p>
    <w:p>
      <w:pPr>
        <w:shd w:fill="F3F4F6" w:color="auto" w:val="clear"/>
        <w:spacing w:after="0" w:line="240"/>
      </w:pPr>
      <w:r>
        <w:rPr>
          <w:rFonts w:ascii="Consolas" w:cs="Consolas" w:eastAsia="Consolas" w:hAnsi="Consolas"/>
          <w:color w:val="1F2937"/>
          <w:sz w:val="17"/>
          <w:szCs w:val="17"/>
        </w:rPr>
        <w:t xml:space="preserve">│  ├─ app/runner.py + modules   seo, aeo, geo, performance, accessibility, crawler, fetcher</w:t>
      </w:r>
    </w:p>
    <w:p>
      <w:pPr>
        <w:shd w:fill="F3F4F6" w:color="auto" w:val="clear"/>
        <w:spacing w:after="0" w:line="240"/>
      </w:pPr>
      <w:r>
        <w:rPr>
          <w:rFonts w:ascii="Consolas" w:cs="Consolas" w:eastAsia="Consolas" w:hAnsi="Consolas"/>
          <w:color w:val="1F2937"/>
          <w:sz w:val="17"/>
          <w:szCs w:val="17"/>
        </w:rPr>
        <w:t xml:space="preserve">│  ├─ app/schema.py             SQLAlchemy models</w:t>
      </w:r>
    </w:p>
    <w:p>
      <w:pPr>
        <w:shd w:fill="F3F4F6" w:color="auto" w:val="clear"/>
        <w:spacing w:after="0" w:line="240"/>
      </w:pPr>
      <w:r>
        <w:rPr>
          <w:rFonts w:ascii="Consolas" w:cs="Consolas" w:eastAsia="Consolas" w:hAnsi="Consolas"/>
          <w:color w:val="1F2937"/>
          <w:sz w:val="17"/>
          <w:szCs w:val="17"/>
        </w:rPr>
        <w:t xml:space="preserve">│  ├─ alembic/versions/         0001_initial, 0002_credits_billing</w:t>
      </w:r>
    </w:p>
    <w:p>
      <w:pPr>
        <w:shd w:fill="F3F4F6" w:color="auto" w:val="clear"/>
        <w:spacing w:after="0" w:line="240"/>
      </w:pPr>
      <w:r>
        <w:rPr>
          <w:rFonts w:ascii="Consolas" w:cs="Consolas" w:eastAsia="Consolas" w:hAnsi="Consolas"/>
          <w:color w:val="1F2937"/>
          <w:sz w:val="17"/>
          <w:szCs w:val="17"/>
        </w:rPr>
        <w:t xml:space="preserve">│  ├─ tests/                    pytest suite</w:t>
      </w:r>
    </w:p>
    <w:p>
      <w:pPr>
        <w:shd w:fill="F3F4F6" w:color="auto" w:val="clear"/>
        <w:spacing w:after="0" w:line="240"/>
      </w:pPr>
      <w:r>
        <w:rPr>
          <w:rFonts w:ascii="Consolas" w:cs="Consolas" w:eastAsia="Consolas" w:hAnsi="Consolas"/>
          <w:color w:val="1F2937"/>
          <w:sz w:val="17"/>
          <w:szCs w:val="17"/>
        </w:rPr>
        <w:t xml:space="preserve">│  └─ scripts/                  create_razorpay_plans.py</w:t>
      </w:r>
    </w:p>
    <w:p>
      <w:pPr>
        <w:shd w:fill="F3F4F6" w:color="auto" w:val="clear"/>
        <w:spacing w:after="0" w:line="240"/>
      </w:pPr>
      <w:r>
        <w:rPr>
          <w:rFonts w:ascii="Consolas" w:cs="Consolas" w:eastAsia="Consolas" w:hAnsi="Consolas"/>
          <w:color w:val="1F2937"/>
          <w:sz w:val="17"/>
          <w:szCs w:val="17"/>
        </w:rPr>
        <w:t xml:space="preserve">├─ docs/                        this document + diagrams</w:t>
      </w:r>
    </w:p>
    <w:p>
      <w:pPr>
        <w:shd w:fill="F3F4F6" w:color="auto" w:val="clear"/>
        <w:spacing w:after="0" w:line="240"/>
      </w:pPr>
      <w:r>
        <w:rPr>
          <w:rFonts w:ascii="Consolas" w:cs="Consolas" w:eastAsia="Consolas" w:hAnsi="Consolas"/>
          <w:color w:val="1F2937"/>
          <w:sz w:val="17"/>
          <w:szCs w:val="17"/>
        </w:rPr>
        <w:t xml:space="preserve">├─ main.py, requirements.txt    entry point for Render's Python runtime</w:t>
      </w:r>
    </w:p>
    <w:p>
      <w:pPr>
        <w:shd w:fill="F3F4F6" w:color="auto" w:val="clear"/>
        <w:spacing w:after="0" w:line="240"/>
      </w:pPr>
      <w:r>
        <w:rPr>
          <w:rFonts w:ascii="Consolas" w:cs="Consolas" w:eastAsia="Consolas" w:hAnsi="Consolas"/>
          <w:color w:val="1F2937"/>
          <w:sz w:val="17"/>
          <w:szCs w:val="17"/>
        </w:rPr>
        <w:t xml:space="preserve">└─ render.yaml, docker-compose.yml, DEPLOY.md</w:t>
      </w:r>
    </w:p>
    <w:p>
      <w:pPr>
        <w:spacing w:after="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41"/>
        <w:gridCol w:w="5865"/>
      </w:tblGrid>
      <w:tr>
        <w:trPr>
          <w:tblHeader/>
        </w:trPr>
        <w:tc>
          <w:tcPr>
            <w:tcW w:type="dxa" w:w="3441"/>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Key file</w:t>
            </w:r>
          </w:p>
        </w:tc>
        <w:tc>
          <w:tcPr>
            <w:tcW w:type="dxa" w:w="5865"/>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Responsibility</w:t>
            </w:r>
          </w:p>
        </w:tc>
      </w:tr>
      <w:tr>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backend/app/plans.py</w:t>
            </w:r>
          </w:p>
        </w:tc>
        <w:tc>
          <w:tcPr>
            <w:tcW w:type="dxa" w:w="58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Prices, credits, website limits, crawl sizes, light-check allowances.</w:t>
            </w:r>
          </w:p>
        </w:tc>
      </w:tr>
      <w:tr>
        <w:tc>
          <w:tcPr>
            <w:tcW w:type="dxa" w:w="3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backend/app/credits.py</w:t>
            </w:r>
          </w:p>
        </w:tc>
        <w:tc>
          <w:tcPr>
            <w:tcW w:type="dxa" w:w="586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Credit ledger: grants, reservations, capture, release, monthly grants, stale-hold sweep.</w:t>
            </w:r>
          </w:p>
        </w:tc>
      </w:tr>
      <w:tr>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backend/app/jobs.py</w:t>
            </w:r>
          </w:p>
        </w:tc>
        <w:tc>
          <w:tcPr>
            <w:tcW w:type="dxa" w:w="58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Job handlers: paid audits, light checks, verification, link crawls, refunds on failure.</w:t>
            </w:r>
          </w:p>
        </w:tc>
      </w:tr>
      <w:tr>
        <w:tc>
          <w:tcPr>
            <w:tcW w:type="dxa" w:w="3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backend/app/worker.py</w:t>
            </w:r>
          </w:p>
        </w:tc>
        <w:tc>
          <w:tcPr>
            <w:tcW w:type="dxa" w:w="586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Scheduler loop: light checks, opt-in monthly audits, daily clean-up.</w:t>
            </w:r>
          </w:p>
        </w:tc>
      </w:tr>
      <w:tr>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backend/app/routers/billing.py</w:t>
            </w:r>
          </w:p>
        </w:tc>
        <w:tc>
          <w:tcPr>
            <w:tcW w:type="dxa" w:w="58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Subscriptions, plan changes, credit packs, payment history, webhook.</w:t>
            </w:r>
          </w:p>
        </w:tc>
      </w:tr>
      <w:tr>
        <w:tc>
          <w:tcPr>
            <w:tcW w:type="dxa" w:w="3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backend/app/fetcher.py</w:t>
            </w:r>
          </w:p>
        </w:tc>
        <w:tc>
          <w:tcPr>
            <w:tcW w:type="dxa" w:w="586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Every fetch of a user URL: private-network guard per redirect, IP pinning.</w:t>
            </w:r>
          </w:p>
        </w:tc>
      </w:tr>
      <w:tr>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frontend/src/lib/auth.ts</w:t>
            </w:r>
          </w:p>
        </w:tc>
        <w:tc>
          <w:tcPr>
            <w:tcW w:type="dxa" w:w="586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Better Auth: database rate limits, account-deletion guard.</w:t>
            </w:r>
          </w:p>
        </w:tc>
      </w:tr>
      <w:tr>
        <w:tc>
          <w:tcPr>
            <w:tcW w:type="dxa" w:w="3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frontend/src/components/app/billing.tsx</w:t>
            </w:r>
          </w:p>
        </w:tc>
        <w:tc>
          <w:tcPr>
            <w:tcW w:type="dxa" w:w="586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Billing dashboard: credits, usage, plans, packs, payments, deletion.</w:t>
            </w:r>
          </w:p>
        </w:tc>
      </w:tr>
    </w:tbl>
    <w:p>
      <w:pPr>
        <w:pStyle w:val="Heading1"/>
        <w:pageBreakBefore/>
      </w:pPr>
      <w:bookmarkStart w:name="_Toc7" w:id="7"/>
      <w:r>
        <w:rPr>
          <w:rFonts w:ascii="Calibri" w:cs="Calibri" w:eastAsia="Calibri" w:hAnsi="Calibri"/>
        </w:rPr>
        <w:t xml:space="preserve">5. Architecture</w:t>
      </w:r>
      <w:bookmarkEnd w:id="7"/>
    </w:p>
    <w:p>
      <w:pPr>
        <w:spacing w:after="60" w:before="120"/>
        <w:jc w:val="center"/>
      </w:pPr>
      <w:r>
        <w:drawing>
          <wp:inline distT="0" distB="0" distL="0" distR="0">
            <wp:extent cx="5905500" cy="3038475"/>
            <wp:effectExtent t="0" r="0" b="0" l="0"/>
            <wp:docPr id="1" name="Figure 1. System architecture" descr="Figure 1. System architecture" title="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38475"/>
                    </a:xfrm>
                    <a:prstGeom prst="rect">
                      <a:avLst/>
                    </a:prstGeom>
                  </pic:spPr>
                </pic:pic>
              </a:graphicData>
            </a:graphic>
          </wp:inline>
        </w:drawing>
      </w:r>
    </w:p>
    <w:p>
      <w:pPr>
        <w:spacing w:after="240"/>
        <w:jc w:val="center"/>
      </w:pPr>
      <w:r>
        <w:rPr>
          <w:rFonts w:ascii="Calibri" w:cs="Calibri" w:eastAsia="Calibri" w:hAnsi="Calibri"/>
          <w:i/>
          <w:iCs/>
          <w:color w:val="4B5563"/>
          <w:sz w:val="18"/>
          <w:szCs w:val="18"/>
        </w:rPr>
        <w:t xml:space="preserve">Figure 1. System architecture</w:t>
      </w:r>
    </w:p>
    <w:p>
      <w:pPr>
        <w:pStyle w:val="ListParagraph"/>
        <w:numPr>
          <w:ilvl w:val="0"/>
          <w:numId w:val="2"/>
        </w:numPr>
        <w:spacing w:after="60" w:line="276"/>
      </w:pPr>
      <w:r>
        <w:rPr>
          <w:rFonts w:ascii="Calibri" w:cs="Calibri" w:eastAsia="Calibri" w:hAnsi="Calibri"/>
          <w:b/>
          <w:bCs/>
          <w:color w:val="1F2937"/>
          <w:sz w:val="21"/>
          <w:szCs w:val="21"/>
        </w:rPr>
        <w:t xml:space="preserve">Website (Vercel). </w:t>
      </w:r>
      <w:r>
        <w:rPr>
          <w:rFonts w:ascii="Calibri" w:cs="Calibri" w:eastAsia="Calibri" w:hAnsi="Calibri"/>
          <w:color w:val="1F2937"/>
          <w:sz w:val="21"/>
          <w:szCs w:val="21"/>
        </w:rPr>
        <w:t xml:space="preserve">Next.js serves marketing, app and legal pages. Better Auth runs inside it and stores users and sessions in Neon. Browser calls to /api/* are forwarded to the API by a rewrite, so the sign-in cookie is first-party for both.</w:t>
      </w:r>
    </w:p>
    <w:p>
      <w:pPr>
        <w:pStyle w:val="ListParagraph"/>
        <w:numPr>
          <w:ilvl w:val="0"/>
          <w:numId w:val="2"/>
        </w:numPr>
        <w:spacing w:after="60" w:line="276"/>
      </w:pPr>
      <w:r>
        <w:rPr>
          <w:rFonts w:ascii="Calibri" w:cs="Calibri" w:eastAsia="Calibri" w:hAnsi="Calibri"/>
          <w:b/>
          <w:bCs/>
          <w:color w:val="1F2937"/>
          <w:sz w:val="21"/>
          <w:szCs w:val="21"/>
        </w:rPr>
        <w:t xml:space="preserve">API (Render). </w:t>
      </w:r>
      <w:r>
        <w:rPr>
          <w:rFonts w:ascii="Calibri" w:cs="Calibri" w:eastAsia="Calibri" w:hAnsi="Calibri"/>
          <w:color w:val="1F2937"/>
          <w:sz w:val="21"/>
          <w:szCs w:val="21"/>
        </w:rPr>
        <w:t xml:space="preserve">FastAPI exposes sites, audits, monitoring, billing and the free preview, and validates the Better Auth session cookie against the session table on every request.</w:t>
      </w:r>
    </w:p>
    <w:p>
      <w:pPr>
        <w:pStyle w:val="ListParagraph"/>
        <w:numPr>
          <w:ilvl w:val="0"/>
          <w:numId w:val="2"/>
        </w:numPr>
        <w:spacing w:after="60" w:line="276"/>
      </w:pPr>
      <w:r>
        <w:rPr>
          <w:rFonts w:ascii="Calibri" w:cs="Calibri" w:eastAsia="Calibri" w:hAnsi="Calibri"/>
          <w:b/>
          <w:bCs/>
          <w:color w:val="1F2937"/>
          <w:sz w:val="21"/>
          <w:szCs w:val="21"/>
        </w:rPr>
        <w:t xml:space="preserve">Worker. </w:t>
      </w:r>
      <w:r>
        <w:rPr>
          <w:rFonts w:ascii="Calibri" w:cs="Calibri" w:eastAsia="Calibri" w:hAnsi="Calibri"/>
          <w:color w:val="1F2937"/>
          <w:sz w:val="21"/>
          <w:szCs w:val="21"/>
        </w:rPr>
        <w:t xml:space="preserve">A Postgres job queue runs inside the API process; jobs are claimed with FOR UPDATE SKIP LOCKED.</w:t>
      </w:r>
    </w:p>
    <w:p>
      <w:pPr>
        <w:pStyle w:val="ListParagraph"/>
        <w:numPr>
          <w:ilvl w:val="0"/>
          <w:numId w:val="2"/>
        </w:numPr>
        <w:spacing w:after="60" w:line="276"/>
      </w:pPr>
      <w:r>
        <w:rPr>
          <w:rFonts w:ascii="Calibri" w:cs="Calibri" w:eastAsia="Calibri" w:hAnsi="Calibri"/>
          <w:b/>
          <w:bCs/>
          <w:color w:val="1F2937"/>
          <w:sz w:val="21"/>
          <w:szCs w:val="21"/>
        </w:rPr>
        <w:t xml:space="preserve">Audit engine. </w:t>
      </w:r>
      <w:r>
        <w:rPr>
          <w:rFonts w:ascii="Calibri" w:cs="Calibri" w:eastAsia="Calibri" w:hAnsi="Calibri"/>
          <w:color w:val="1F2937"/>
          <w:sz w:val="21"/>
          <w:szCs w:val="21"/>
        </w:rPr>
        <w:t xml:space="preserve">Guarded HTTP fetch, SEO/AEO/GEO rules, Speed via PageSpeed, accessibility in headless Chromium, broken-link crawl.</w:t>
      </w:r>
    </w:p>
    <w:p>
      <w:pPr>
        <w:pStyle w:val="ListParagraph"/>
        <w:numPr>
          <w:ilvl w:val="0"/>
          <w:numId w:val="2"/>
        </w:numPr>
        <w:spacing w:after="60" w:line="276"/>
      </w:pPr>
      <w:r>
        <w:rPr>
          <w:rFonts w:ascii="Calibri" w:cs="Calibri" w:eastAsia="Calibri" w:hAnsi="Calibri"/>
          <w:b/>
          <w:bCs/>
          <w:color w:val="1F2937"/>
          <w:sz w:val="21"/>
          <w:szCs w:val="21"/>
        </w:rPr>
        <w:t xml:space="preserve">Neon Postgres. </w:t>
      </w:r>
      <w:r>
        <w:rPr>
          <w:rFonts w:ascii="Calibri" w:cs="Calibri" w:eastAsia="Calibri" w:hAnsi="Calibri"/>
          <w:color w:val="1F2937"/>
          <w:sz w:val="21"/>
          <w:szCs w:val="21"/>
        </w:rPr>
        <w:t xml:space="preserve">One database for Better Auth's tables and Rankwise's 23 tables; Alembic skips Better Auth's.</w:t>
      </w:r>
    </w:p>
    <w:p>
      <w:pPr>
        <w:pStyle w:val="ListParagraph"/>
        <w:numPr>
          <w:ilvl w:val="0"/>
          <w:numId w:val="2"/>
        </w:numPr>
        <w:spacing w:after="60" w:line="276"/>
      </w:pPr>
      <w:r>
        <w:rPr>
          <w:rFonts w:ascii="Calibri" w:cs="Calibri" w:eastAsia="Calibri" w:hAnsi="Calibri"/>
          <w:b/>
          <w:bCs/>
          <w:color w:val="1F2937"/>
          <w:sz w:val="21"/>
          <w:szCs w:val="21"/>
        </w:rPr>
        <w:t xml:space="preserve">Razorpay. </w:t>
      </w:r>
      <w:r>
        <w:rPr>
          <w:rFonts w:ascii="Calibri" w:cs="Calibri" w:eastAsia="Calibri" w:hAnsi="Calibri"/>
          <w:color w:val="1F2937"/>
          <w:sz w:val="21"/>
          <w:szCs w:val="21"/>
        </w:rPr>
        <w:t xml:space="preserve">Subscriptions and one-time orders, verified with HMAC signatures.</w:t>
      </w:r>
    </w:p>
    <w:p>
      <w:pPr>
        <w:spacing w:after="120" w:line="288"/>
      </w:pPr>
      <w:r>
        <w:rPr>
          <w:rFonts w:ascii="Calibri" w:cs="Calibri" w:eastAsia="Calibri" w:hAnsi="Calibri"/>
          <w:color w:val="1F2937"/>
          <w:sz w:val="21"/>
          <w:szCs w:val="21"/>
        </w:rPr>
        <w:t xml:space="preserve">The anonymous preview is the one exception to the proxy: the browser streams it straight from the API, which is why the API allows the production frontend origin through CORS.</w:t>
      </w:r>
    </w:p>
    <w:p>
      <w:pPr>
        <w:pStyle w:val="Heading1"/>
        <w:pageBreakBefore/>
      </w:pPr>
      <w:bookmarkStart w:name="_Toc8" w:id="8"/>
      <w:r>
        <w:rPr>
          <w:rFonts w:ascii="Calibri" w:cs="Calibri" w:eastAsia="Calibri" w:hAnsi="Calibri"/>
        </w:rPr>
        <w:t xml:space="preserve">6. Workflows</w:t>
      </w:r>
      <w:bookmarkEnd w:id="8"/>
    </w:p>
    <w:p>
      <w:pPr>
        <w:pStyle w:val="Heading2"/>
      </w:pPr>
      <w:bookmarkStart w:name="_Toc9" w:id="9"/>
      <w:r>
        <w:rPr>
          <w:rFonts w:ascii="Calibri" w:cs="Calibri" w:eastAsia="Calibri" w:hAnsi="Calibri"/>
        </w:rPr>
        <w:t xml:space="preserve">6.1 Free preview (no account)</w:t>
      </w:r>
      <w:bookmarkEnd w:id="9"/>
    </w:p>
    <w:p>
      <w:pPr>
        <w:pStyle w:val="ListParagraph"/>
        <w:numPr>
          <w:ilvl w:val="0"/>
          <w:numId w:val="3"/>
        </w:numPr>
        <w:spacing w:after="60" w:line="276"/>
      </w:pPr>
      <w:r>
        <w:rPr>
          <w:rFonts w:ascii="Calibri" w:cs="Calibri" w:eastAsia="Calibri" w:hAnsi="Calibri"/>
          <w:color w:val="1F2937"/>
          <w:sz w:val="21"/>
          <w:szCs w:val="21"/>
        </w:rPr>
        <w:t xml:space="preserve">A visitor enters a URL on /audit; the browser opens an event stream to the API.</w:t>
      </w:r>
    </w:p>
    <w:p>
      <w:pPr>
        <w:pStyle w:val="ListParagraph"/>
        <w:numPr>
          <w:ilvl w:val="0"/>
          <w:numId w:val="3"/>
        </w:numPr>
        <w:spacing w:after="60" w:line="276"/>
      </w:pPr>
      <w:r>
        <w:rPr>
          <w:rFonts w:ascii="Calibri" w:cs="Calibri" w:eastAsia="Calibri" w:hAnsi="Calibri"/>
          <w:color w:val="1F2937"/>
          <w:sz w:val="21"/>
          <w:szCs w:val="21"/>
        </w:rPr>
        <w:t xml:space="preserve">The request is counted under a salted hash of the visitor's IP: 2 per day per visitor, 200 per day overall.</w:t>
      </w:r>
    </w:p>
    <w:p>
      <w:pPr>
        <w:pStyle w:val="ListParagraph"/>
        <w:numPr>
          <w:ilvl w:val="0"/>
          <w:numId w:val="3"/>
        </w:numPr>
        <w:spacing w:after="60" w:line="276"/>
      </w:pPr>
      <w:r>
        <w:rPr>
          <w:rFonts w:ascii="Calibri" w:cs="Calibri" w:eastAsia="Calibri" w:hAnsi="Calibri"/>
          <w:color w:val="1F2937"/>
          <w:sz w:val="21"/>
          <w:szCs w:val="21"/>
        </w:rPr>
        <w:t xml:space="preserve">A light check runs (SEO, AEO, GEO rules; no PageSpeed, browser, traffic or AI calls) and streams each module's result.</w:t>
      </w:r>
    </w:p>
    <w:p>
      <w:pPr>
        <w:pStyle w:val="ListParagraph"/>
        <w:numPr>
          <w:ilvl w:val="0"/>
          <w:numId w:val="3"/>
        </w:numPr>
        <w:spacing w:after="60" w:line="276"/>
      </w:pPr>
      <w:r>
        <w:rPr>
          <w:rFonts w:ascii="Calibri" w:cs="Calibri" w:eastAsia="Calibri" w:hAnsi="Calibri"/>
          <w:color w:val="1F2937"/>
          <w:sz w:val="21"/>
          <w:szCs w:val="21"/>
        </w:rPr>
        <w:t xml:space="preserve">Nothing is saved; the report invites the visitor to sign up for a free full audit.</w:t>
      </w:r>
    </w:p>
    <w:p>
      <w:pPr>
        <w:pStyle w:val="Heading2"/>
      </w:pPr>
      <w:bookmarkStart w:name="_Toc10" w:id="10"/>
      <w:r>
        <w:rPr>
          <w:rFonts w:ascii="Calibri" w:cs="Calibri" w:eastAsia="Calibri" w:hAnsi="Calibri"/>
        </w:rPr>
        <w:t xml:space="preserve">6.2 Sign-up and sign-in</w:t>
      </w:r>
      <w:bookmarkEnd w:id="10"/>
    </w:p>
    <w:p>
      <w:pPr>
        <w:pStyle w:val="ListParagraph"/>
        <w:numPr>
          <w:ilvl w:val="0"/>
          <w:numId w:val="3"/>
        </w:numPr>
        <w:spacing w:after="60" w:line="276"/>
      </w:pPr>
      <w:r>
        <w:rPr>
          <w:rFonts w:ascii="Calibri" w:cs="Calibri" w:eastAsia="Calibri" w:hAnsi="Calibri"/>
          <w:color w:val="1F2937"/>
          <w:sz w:val="21"/>
          <w:szCs w:val="21"/>
        </w:rPr>
        <w:t xml:space="preserve">Better Auth in Next.js handles sign-up and sign-in, limited to 5 sign-ins a minute and 5 sign-ups an hour, counted in Postgres.</w:t>
      </w:r>
    </w:p>
    <w:p>
      <w:pPr>
        <w:pStyle w:val="ListParagraph"/>
        <w:numPr>
          <w:ilvl w:val="0"/>
          <w:numId w:val="3"/>
        </w:numPr>
        <w:spacing w:after="60" w:line="276"/>
      </w:pPr>
      <w:r>
        <w:rPr>
          <w:rFonts w:ascii="Calibri" w:cs="Calibri" w:eastAsia="Calibri" w:hAnsi="Calibri"/>
          <w:color w:val="1F2937"/>
          <w:sz w:val="21"/>
          <w:szCs w:val="21"/>
        </w:rPr>
        <w:t xml:space="preserve">The session cookie is set; proxy.ts sends anyone without it from /app to /login.</w:t>
      </w:r>
    </w:p>
    <w:p>
      <w:pPr>
        <w:pStyle w:val="ListParagraph"/>
        <w:numPr>
          <w:ilvl w:val="0"/>
          <w:numId w:val="3"/>
        </w:numPr>
        <w:spacing w:after="60" w:line="276"/>
      </w:pPr>
      <w:r>
        <w:rPr>
          <w:rFonts w:ascii="Calibri" w:cs="Calibri" w:eastAsia="Calibri" w:hAnsi="Calibri"/>
          <w:color w:val="1F2937"/>
          <w:sz w:val="21"/>
          <w:szCs w:val="21"/>
        </w:rPr>
        <w:t xml:space="preserve">Each API call looks the session up in the database and rejects expired ones.</w:t>
      </w:r>
    </w:p>
    <w:p>
      <w:pPr>
        <w:pStyle w:val="Heading2"/>
      </w:pPr>
      <w:bookmarkStart w:name="_Toc11" w:id="11"/>
      <w:r>
        <w:rPr>
          <w:rFonts w:ascii="Calibri" w:cs="Calibri" w:eastAsia="Calibri" w:hAnsi="Calibri"/>
        </w:rPr>
        <w:t xml:space="preserve">6.3 Full audit (paid with credits)</w:t>
      </w:r>
      <w:bookmarkEnd w:id="11"/>
    </w:p>
    <w:p>
      <w:pPr>
        <w:spacing w:after="60" w:before="120"/>
        <w:jc w:val="center"/>
      </w:pPr>
      <w:r>
        <w:drawing>
          <wp:inline distT="0" distB="0" distL="0" distR="0">
            <wp:extent cx="5905500" cy="5133975"/>
            <wp:effectExtent t="0" r="0" b="0" l="0"/>
            <wp:docPr id="2" name="Figure 2. Full audit: credits, queue and refunds" descr="Figure 2. Full audit: credits, queue and refunds" title="Figure 2. Full audit: credits, queue and ref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133975"/>
                    </a:xfrm>
                    <a:prstGeom prst="rect">
                      <a:avLst/>
                    </a:prstGeom>
                  </pic:spPr>
                </pic:pic>
              </a:graphicData>
            </a:graphic>
          </wp:inline>
        </w:drawing>
      </w:r>
    </w:p>
    <w:p>
      <w:pPr>
        <w:spacing w:after="240"/>
        <w:jc w:val="center"/>
      </w:pPr>
      <w:r>
        <w:rPr>
          <w:rFonts w:ascii="Calibri" w:cs="Calibri" w:eastAsia="Calibri" w:hAnsi="Calibri"/>
          <w:i/>
          <w:iCs/>
          <w:color w:val="4B5563"/>
          <w:sz w:val="18"/>
          <w:szCs w:val="18"/>
        </w:rPr>
        <w:t xml:space="preserve">Figure 2. Full audit: credits, queue and refunds</w:t>
      </w:r>
    </w:p>
    <w:p>
      <w:pPr>
        <w:pStyle w:val="ListParagraph"/>
        <w:numPr>
          <w:ilvl w:val="0"/>
          <w:numId w:val="3"/>
        </w:numPr>
        <w:spacing w:after="60" w:line="276"/>
      </w:pPr>
      <w:r>
        <w:rPr>
          <w:rFonts w:ascii="Calibri" w:cs="Calibri" w:eastAsia="Calibri" w:hAnsi="Calibri"/>
          <w:color w:val="1F2937"/>
          <w:sz w:val="21"/>
          <w:szCs w:val="21"/>
        </w:rPr>
        <w:t xml:space="preserve">The user clicks 'Full audit · 1 credit' (or 'Deep audit · 3 credits' on Business and Scale).</w:t>
      </w:r>
    </w:p>
    <w:p>
      <w:pPr>
        <w:pStyle w:val="ListParagraph"/>
        <w:numPr>
          <w:ilvl w:val="0"/>
          <w:numId w:val="3"/>
        </w:numPr>
        <w:spacing w:after="60" w:line="276"/>
      </w:pPr>
      <w:r>
        <w:rPr>
          <w:rFonts w:ascii="Calibri" w:cs="Calibri" w:eastAsia="Calibri" w:hAnsi="Calibri"/>
          <w:color w:val="1F2937"/>
          <w:sz w:val="21"/>
          <w:szCs w:val="21"/>
        </w:rPr>
        <w:t xml:space="preserve">The API takes a per-user lock and reserves credits: monthly first, then refunds, then packs, soonest-expiring first. A repeated idempotency key returns the same reservation.</w:t>
      </w:r>
    </w:p>
    <w:p>
      <w:pPr>
        <w:pStyle w:val="ListParagraph"/>
        <w:numPr>
          <w:ilvl w:val="0"/>
          <w:numId w:val="3"/>
        </w:numPr>
        <w:spacing w:after="60" w:line="276"/>
      </w:pPr>
      <w:r>
        <w:rPr>
          <w:rFonts w:ascii="Calibri" w:cs="Calibri" w:eastAsia="Calibri" w:hAnsi="Calibri"/>
          <w:color w:val="1F2937"/>
          <w:sz w:val="21"/>
          <w:szCs w:val="21"/>
        </w:rPr>
        <w:t xml:space="preserve">Without enough credits the API answers 402 and the app offers an upgrade or a credit pack.</w:t>
      </w:r>
    </w:p>
    <w:p>
      <w:pPr>
        <w:pStyle w:val="ListParagraph"/>
        <w:numPr>
          <w:ilvl w:val="0"/>
          <w:numId w:val="3"/>
        </w:numPr>
        <w:spacing w:after="60" w:line="276"/>
      </w:pPr>
      <w:r>
        <w:rPr>
          <w:rFonts w:ascii="Calibri" w:cs="Calibri" w:eastAsia="Calibri" w:hAnsi="Calibri"/>
          <w:color w:val="1F2937"/>
          <w:sz w:val="21"/>
          <w:szCs w:val="21"/>
        </w:rPr>
        <w:t xml:space="preserve">Otherwise an audit job carrying the reservation id is queued; the worker claims it, runs every module and stores the report.</w:t>
      </w:r>
    </w:p>
    <w:p>
      <w:pPr>
        <w:pStyle w:val="ListParagraph"/>
        <w:numPr>
          <w:ilvl w:val="0"/>
          <w:numId w:val="3"/>
        </w:numPr>
        <w:spacing w:after="60" w:line="276"/>
      </w:pPr>
      <w:r>
        <w:rPr>
          <w:rFonts w:ascii="Calibri" w:cs="Calibri" w:eastAsia="Calibri" w:hAnsi="Calibri"/>
          <w:color w:val="1F2937"/>
          <w:sz w:val="21"/>
          <w:szCs w:val="21"/>
        </w:rPr>
        <w:t xml:space="preserve">On success the credit is captured, pending 'Mark fixed' checks are settled and a broken-link crawl is queued with the plan's page limit.</w:t>
      </w:r>
    </w:p>
    <w:p>
      <w:pPr>
        <w:pStyle w:val="ListParagraph"/>
        <w:numPr>
          <w:ilvl w:val="0"/>
          <w:numId w:val="3"/>
        </w:numPr>
        <w:spacing w:after="60" w:line="276"/>
      </w:pPr>
      <w:r>
        <w:rPr>
          <w:rFonts w:ascii="Calibri" w:cs="Calibri" w:eastAsia="Calibri" w:hAnsi="Calibri"/>
          <w:color w:val="1F2937"/>
          <w:sz w:val="21"/>
          <w:szCs w:val="21"/>
        </w:rPr>
        <w:t xml:space="preserve">On failure the job retries after 1, 4 and 16 minutes; if no report comes out, the credits are released automatically.</w:t>
      </w:r>
    </w:p>
    <w:p>
      <w:pPr>
        <w:pStyle w:val="Heading2"/>
      </w:pPr>
      <w:bookmarkStart w:name="_Toc12" w:id="12"/>
      <w:r>
        <w:rPr>
          <w:rFonts w:ascii="Calibri" w:cs="Calibri" w:eastAsia="Calibri" w:hAnsi="Calibri"/>
        </w:rPr>
        <w:t xml:space="preserve">6.4 Light checks, scheduling and monitoring</w:t>
      </w:r>
      <w:bookmarkEnd w:id="12"/>
    </w:p>
    <w:p>
      <w:pPr>
        <w:spacing w:after="60" w:before="120"/>
        <w:jc w:val="center"/>
      </w:pPr>
      <w:r>
        <w:drawing>
          <wp:inline distT="0" distB="0" distL="0" distR="0">
            <wp:extent cx="5905500" cy="2933700"/>
            <wp:effectExtent t="0" r="0" b="0" l="0"/>
            <wp:docPr id="3" name="Figure 3. Worker loop: scheduling and monitoring" descr="Figure 3. Worker loop: scheduling and monitoring" title="Figure 3. Worker loop: scheduling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33700"/>
                    </a:xfrm>
                    <a:prstGeom prst="rect">
                      <a:avLst/>
                    </a:prstGeom>
                  </pic:spPr>
                </pic:pic>
              </a:graphicData>
            </a:graphic>
          </wp:inline>
        </w:drawing>
      </w:r>
    </w:p>
    <w:p>
      <w:pPr>
        <w:spacing w:after="240"/>
        <w:jc w:val="center"/>
      </w:pPr>
      <w:r>
        <w:rPr>
          <w:rFonts w:ascii="Calibri" w:cs="Calibri" w:eastAsia="Calibri" w:hAnsi="Calibri"/>
          <w:i/>
          <w:iCs/>
          <w:color w:val="4B5563"/>
          <w:sz w:val="18"/>
          <w:szCs w:val="18"/>
        </w:rPr>
        <w:t xml:space="preserve">Figure 3. Worker loop: scheduling and monitoring</w:t>
      </w:r>
    </w:p>
    <w:p>
      <w:pPr>
        <w:pStyle w:val="ListParagraph"/>
        <w:numPr>
          <w:ilvl w:val="0"/>
          <w:numId w:val="2"/>
        </w:numPr>
        <w:spacing w:after="60" w:line="276"/>
      </w:pPr>
      <w:r>
        <w:rPr>
          <w:rFonts w:ascii="Calibri" w:cs="Calibri" w:eastAsia="Calibri" w:hAnsi="Calibri"/>
          <w:color w:val="1F2937"/>
          <w:sz w:val="21"/>
          <w:szCs w:val="21"/>
        </w:rPr>
        <w:t xml:space="preserve">Every 60 seconds due sites get a free light check, within the plan's daily cap (Free 3, Pro 10, Business 40, Scale 100).</w:t>
      </w:r>
    </w:p>
    <w:p>
      <w:pPr>
        <w:pStyle w:val="ListParagraph"/>
        <w:numPr>
          <w:ilvl w:val="0"/>
          <w:numId w:val="2"/>
        </w:numPr>
        <w:spacing w:after="60" w:line="276"/>
      </w:pPr>
      <w:r>
        <w:rPr>
          <w:rFonts w:ascii="Calibri" w:cs="Calibri" w:eastAsia="Calibri" w:hAnsi="Calibri"/>
          <w:color w:val="1F2937"/>
          <w:sz w:val="21"/>
          <w:szCs w:val="21"/>
        </w:rPr>
        <w:t xml:space="preserve">Opted-in sites also get one full audit a month, paid with a credit; without credits it is skipped and the user is alerted.</w:t>
      </w:r>
    </w:p>
    <w:p>
      <w:pPr>
        <w:pStyle w:val="ListParagraph"/>
        <w:numPr>
          <w:ilvl w:val="0"/>
          <w:numId w:val="2"/>
        </w:numPr>
        <w:spacing w:after="60" w:line="276"/>
      </w:pPr>
      <w:r>
        <w:rPr>
          <w:rFonts w:ascii="Calibri" w:cs="Calibri" w:eastAsia="Calibri" w:hAnsi="Calibri"/>
          <w:color w:val="1F2937"/>
          <w:sz w:val="21"/>
          <w:szCs w:val="21"/>
        </w:rPr>
        <w:t xml:space="preserve">Each stored audit is compared with the previous one of the same kind: new and resolved issues, score drops and slower Core Web Vitals become alerts.</w:t>
      </w:r>
    </w:p>
    <w:p>
      <w:pPr>
        <w:pStyle w:val="ListParagraph"/>
        <w:numPr>
          <w:ilvl w:val="0"/>
          <w:numId w:val="2"/>
        </w:numPr>
        <w:spacing w:after="60" w:line="276"/>
      </w:pPr>
      <w:r>
        <w:rPr>
          <w:rFonts w:ascii="Calibri" w:cs="Calibri" w:eastAsia="Calibri" w:hAnsi="Calibri"/>
          <w:color w:val="1F2937"/>
          <w:sz w:val="21"/>
          <w:szCs w:val="21"/>
        </w:rPr>
        <w:t xml:space="preserve">Stuck credit holds are released, and once a day old jobs, light-check reports, webhook records and preview counters are pruned.</w:t>
      </w:r>
    </w:p>
    <w:p>
      <w:pPr>
        <w:pStyle w:val="Heading2"/>
      </w:pPr>
      <w:bookmarkStart w:name="_Toc13" w:id="13"/>
      <w:r>
        <w:rPr>
          <w:rFonts w:ascii="Calibri" w:cs="Calibri" w:eastAsia="Calibri" w:hAnsi="Calibri"/>
        </w:rPr>
        <w:t xml:space="preserve">6.5 'Mark fixed' verification</w:t>
      </w:r>
      <w:bookmarkEnd w:id="13"/>
    </w:p>
    <w:p>
      <w:pPr>
        <w:pStyle w:val="ListParagraph"/>
        <w:numPr>
          <w:ilvl w:val="0"/>
          <w:numId w:val="2"/>
        </w:numPr>
        <w:spacing w:after="60" w:line="276"/>
      </w:pPr>
      <w:r>
        <w:rPr>
          <w:rFonts w:ascii="Calibri" w:cs="Calibri" w:eastAsia="Calibri" w:hAnsi="Calibri"/>
          <w:color w:val="1F2937"/>
          <w:sz w:val="21"/>
          <w:szCs w:val="21"/>
        </w:rPr>
        <w:t xml:space="preserve">Marking an SEO, AEO or GEO issue fixed queues a free light recheck that settles it as fixed or still failing.</w:t>
      </w:r>
    </w:p>
    <w:p>
      <w:pPr>
        <w:pStyle w:val="ListParagraph"/>
        <w:numPr>
          <w:ilvl w:val="0"/>
          <w:numId w:val="2"/>
        </w:numPr>
        <w:spacing w:after="60" w:line="276"/>
      </w:pPr>
      <w:r>
        <w:rPr>
          <w:rFonts w:ascii="Calibri" w:cs="Calibri" w:eastAsia="Calibri" w:hAnsi="Calibri"/>
          <w:color w:val="1F2937"/>
          <w:sz w:val="21"/>
          <w:szCs w:val="21"/>
        </w:rPr>
        <w:t xml:space="preserve">Speed and accessibility fixes wait for the next full audit, which settles every pending verification at no extra cost.</w:t>
      </w:r>
    </w:p>
    <w:p>
      <w:pPr>
        <w:pStyle w:val="Heading2"/>
      </w:pPr>
      <w:bookmarkStart w:name="_Toc14" w:id="14"/>
      <w:r>
        <w:rPr>
          <w:rFonts w:ascii="Calibri" w:cs="Calibri" w:eastAsia="Calibri" w:hAnsi="Calibri"/>
        </w:rPr>
        <w:t xml:space="preserve">6.6 Deploy hook</w:t>
      </w:r>
      <w:bookmarkEnd w:id="14"/>
    </w:p>
    <w:p>
      <w:pPr>
        <w:pStyle w:val="ListParagraph"/>
        <w:numPr>
          <w:ilvl w:val="0"/>
          <w:numId w:val="2"/>
        </w:numPr>
        <w:spacing w:after="60" w:line="276"/>
      </w:pPr>
      <w:r>
        <w:rPr>
          <w:rFonts w:ascii="Calibri" w:cs="Calibri" w:eastAsia="Calibri" w:hAnsi="Calibri"/>
          <w:color w:val="1F2937"/>
          <w:sz w:val="21"/>
          <w:szCs w:val="21"/>
        </w:rPr>
        <w:t xml:space="preserve">CI calls a secret per-site URL after a release; at most one deploy audit runs per site per hour.</w:t>
      </w:r>
    </w:p>
    <w:p>
      <w:pPr>
        <w:pStyle w:val="ListParagraph"/>
        <w:numPr>
          <w:ilvl w:val="0"/>
          <w:numId w:val="2"/>
        </w:numPr>
        <w:spacing w:after="60" w:line="276"/>
      </w:pPr>
      <w:r>
        <w:rPr>
          <w:rFonts w:ascii="Calibri" w:cs="Calibri" w:eastAsia="Calibri" w:hAnsi="Calibri"/>
          <w:color w:val="1F2937"/>
          <w:sz w:val="21"/>
          <w:szCs w:val="21"/>
        </w:rPr>
        <w:t xml:space="preserve">A full audit runs if a credit is available, otherwise a light check plus an alert.</w:t>
      </w:r>
    </w:p>
    <w:p>
      <w:pPr>
        <w:pStyle w:val="Heading2"/>
      </w:pPr>
      <w:bookmarkStart w:name="_Toc15" w:id="15"/>
      <w:r>
        <w:rPr>
          <w:rFonts w:ascii="Calibri" w:cs="Calibri" w:eastAsia="Calibri" w:hAnsi="Calibri"/>
        </w:rPr>
        <w:t xml:space="preserve">6.7 Subscription payment</w:t>
      </w:r>
      <w:bookmarkEnd w:id="15"/>
    </w:p>
    <w:p>
      <w:pPr>
        <w:spacing w:after="60" w:before="120"/>
        <w:jc w:val="center"/>
      </w:pPr>
      <w:r>
        <w:drawing>
          <wp:inline distT="0" distB="0" distL="0" distR="0">
            <wp:extent cx="5905500" cy="5286375"/>
            <wp:effectExtent t="0" r="0" b="0" l="0"/>
            <wp:docPr id="4" name="Figure 4. Subscription payment with Razorpay" descr="Figure 4. Subscription payment with Razorpay" title="Figure 4. Subscription payment with Razor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286375"/>
                    </a:xfrm>
                    <a:prstGeom prst="rect">
                      <a:avLst/>
                    </a:prstGeom>
                  </pic:spPr>
                </pic:pic>
              </a:graphicData>
            </a:graphic>
          </wp:inline>
        </w:drawing>
      </w:r>
    </w:p>
    <w:p>
      <w:pPr>
        <w:spacing w:after="240"/>
        <w:jc w:val="center"/>
      </w:pPr>
      <w:r>
        <w:rPr>
          <w:rFonts w:ascii="Calibri" w:cs="Calibri" w:eastAsia="Calibri" w:hAnsi="Calibri"/>
          <w:i/>
          <w:iCs/>
          <w:color w:val="4B5563"/>
          <w:sz w:val="18"/>
          <w:szCs w:val="18"/>
        </w:rPr>
        <w:t xml:space="preserve">Figure 4. Subscription payment with Razorpay</w:t>
      </w:r>
    </w:p>
    <w:p>
      <w:pPr>
        <w:pStyle w:val="ListParagraph"/>
        <w:numPr>
          <w:ilvl w:val="0"/>
          <w:numId w:val="3"/>
        </w:numPr>
        <w:spacing w:after="60" w:line="276"/>
      </w:pPr>
      <w:r>
        <w:rPr>
          <w:rFonts w:ascii="Calibri" w:cs="Calibri" w:eastAsia="Calibri" w:hAnsi="Calibri"/>
          <w:color w:val="1F2937"/>
          <w:sz w:val="21"/>
          <w:szCs w:val="21"/>
        </w:rPr>
        <w:t xml:space="preserve">The user picks a plan; the API creates a Razorpay subscription for that plan's configured plan id. Prices never come from the browser.</w:t>
      </w:r>
    </w:p>
    <w:p>
      <w:pPr>
        <w:pStyle w:val="ListParagraph"/>
        <w:numPr>
          <w:ilvl w:val="0"/>
          <w:numId w:val="3"/>
        </w:numPr>
        <w:spacing w:after="60" w:line="276"/>
      </w:pPr>
      <w:r>
        <w:rPr>
          <w:rFonts w:ascii="Calibri" w:cs="Calibri" w:eastAsia="Calibri" w:hAnsi="Calibri"/>
          <w:color w:val="1F2937"/>
          <w:sz w:val="21"/>
          <w:szCs w:val="21"/>
        </w:rPr>
        <w:t xml:space="preserve">Razorpay Checkout collects the payment and returns a payment id with an HMAC signature.</w:t>
      </w:r>
    </w:p>
    <w:p>
      <w:pPr>
        <w:pStyle w:val="ListParagraph"/>
        <w:numPr>
          <w:ilvl w:val="0"/>
          <w:numId w:val="3"/>
        </w:numPr>
        <w:spacing w:after="60" w:line="276"/>
      </w:pPr>
      <w:r>
        <w:rPr>
          <w:rFonts w:ascii="Calibri" w:cs="Calibri" w:eastAsia="Calibri" w:hAnsi="Calibri"/>
          <w:color w:val="1F2937"/>
          <w:sz w:val="21"/>
          <w:szCs w:val="21"/>
        </w:rPr>
        <w:t xml:space="preserve">The API verifies the signature, reads the subscription back from Razorpay and grants the period's credits straight away.</w:t>
      </w:r>
    </w:p>
    <w:p>
      <w:pPr>
        <w:pStyle w:val="ListParagraph"/>
        <w:numPr>
          <w:ilvl w:val="0"/>
          <w:numId w:val="3"/>
        </w:numPr>
        <w:spacing w:after="60" w:line="276"/>
      </w:pPr>
      <w:r>
        <w:rPr>
          <w:rFonts w:ascii="Calibri" w:cs="Calibri" w:eastAsia="Calibri" w:hAnsi="Calibri"/>
          <w:color w:val="1F2937"/>
          <w:sz w:val="21"/>
          <w:szCs w:val="21"/>
        </w:rPr>
        <w:t xml:space="preserve">Webhooks keep the subscription in sync. Each event is recorded once by its event id, older events are ignored, and every grant uses a unique key, so nothing is granted twice.</w:t>
      </w:r>
    </w:p>
    <w:p>
      <w:pPr>
        <w:pStyle w:val="ListParagraph"/>
        <w:numPr>
          <w:ilvl w:val="0"/>
          <w:numId w:val="3"/>
        </w:numPr>
        <w:spacing w:after="60" w:line="276"/>
      </w:pPr>
      <w:r>
        <w:rPr>
          <w:rFonts w:ascii="Calibri" w:cs="Calibri" w:eastAsia="Calibri" w:hAnsi="Calibri"/>
          <w:color w:val="1F2937"/>
          <w:sz w:val="21"/>
          <w:szCs w:val="21"/>
        </w:rPr>
        <w:t xml:space="preserve">Upgrades apply immediately with a one-off top-up; downgrades wait for the period end. A failed renewal keeps the plan during Razorpay's retries, then drops the account to Free.</w:t>
      </w:r>
    </w:p>
    <w:p>
      <w:pPr>
        <w:pStyle w:val="Heading2"/>
      </w:pPr>
      <w:bookmarkStart w:name="_Toc16" w:id="16"/>
      <w:r>
        <w:rPr>
          <w:rFonts w:ascii="Calibri" w:cs="Calibri" w:eastAsia="Calibri" w:hAnsi="Calibri"/>
        </w:rPr>
        <w:t xml:space="preserve">6.8 Credit packs</w:t>
      </w:r>
      <w:bookmarkEnd w:id="16"/>
    </w:p>
    <w:p>
      <w:pPr>
        <w:pStyle w:val="ListParagraph"/>
        <w:numPr>
          <w:ilvl w:val="0"/>
          <w:numId w:val="2"/>
        </w:numPr>
        <w:spacing w:after="60" w:line="276"/>
      </w:pPr>
      <w:r>
        <w:rPr>
          <w:rFonts w:ascii="Calibri" w:cs="Calibri" w:eastAsia="Calibri" w:hAnsi="Calibri"/>
          <w:color w:val="1F2937"/>
          <w:sz w:val="21"/>
          <w:szCs w:val="21"/>
        </w:rPr>
        <w:t xml:space="preserve">Paid plans can buy 5 or 20 credits as a one-time Razorpay Order, priced on the server and tied to the buyer.</w:t>
      </w:r>
    </w:p>
    <w:p>
      <w:pPr>
        <w:pStyle w:val="ListParagraph"/>
        <w:numPr>
          <w:ilvl w:val="0"/>
          <w:numId w:val="2"/>
        </w:numPr>
        <w:spacing w:after="60" w:line="276"/>
      </w:pPr>
      <w:r>
        <w:rPr>
          <w:rFonts w:ascii="Calibri" w:cs="Calibri" w:eastAsia="Calibri" w:hAnsi="Calibri"/>
          <w:color w:val="1F2937"/>
          <w:sz w:val="21"/>
          <w:szCs w:val="21"/>
        </w:rPr>
        <w:t xml:space="preserve">Pack credits are used after monthly credits and last 12 months; checkout and the order.paid webhook grant through the same key.</w:t>
      </w:r>
    </w:p>
    <w:p>
      <w:pPr>
        <w:pStyle w:val="Heading2"/>
      </w:pPr>
      <w:bookmarkStart w:name="_Toc17" w:id="17"/>
      <w:r>
        <w:rPr>
          <w:rFonts w:ascii="Calibri" w:cs="Calibri" w:eastAsia="Calibri" w:hAnsi="Calibri"/>
        </w:rPr>
        <w:t xml:space="preserve">6.9 Account deletion</w:t>
      </w:r>
      <w:bookmarkEnd w:id="17"/>
    </w:p>
    <w:p>
      <w:pPr>
        <w:pStyle w:val="ListParagraph"/>
        <w:numPr>
          <w:ilvl w:val="0"/>
          <w:numId w:val="2"/>
        </w:numPr>
        <w:spacing w:after="60" w:line="276"/>
      </w:pPr>
      <w:r>
        <w:rPr>
          <w:rFonts w:ascii="Calibri" w:cs="Calibri" w:eastAsia="Calibri" w:hAnsi="Calibri"/>
          <w:color w:val="1F2937"/>
          <w:sz w:val="21"/>
          <w:szCs w:val="21"/>
        </w:rPr>
        <w:t xml:space="preserve">From Billing the user re-enters their password and types DELETE; every Rankwise table cascades, removing websites, reports, credits and billing history.</w:t>
      </w:r>
    </w:p>
    <w:p>
      <w:pPr>
        <w:pStyle w:val="ListParagraph"/>
        <w:numPr>
          <w:ilvl w:val="0"/>
          <w:numId w:val="2"/>
        </w:numPr>
        <w:spacing w:after="60" w:line="276"/>
      </w:pPr>
      <w:r>
        <w:rPr>
          <w:rFonts w:ascii="Calibri" w:cs="Calibri" w:eastAsia="Calibri" w:hAnsi="Calibri"/>
          <w:color w:val="1F2937"/>
          <w:sz w:val="21"/>
          <w:szCs w:val="21"/>
        </w:rPr>
        <w:t xml:space="preserve">Deletion is refused while a paid plan is set to renew.</w:t>
      </w:r>
    </w:p>
    <w:p>
      <w:pPr>
        <w:pStyle w:val="Heading1"/>
        <w:pageBreakBefore/>
      </w:pPr>
      <w:bookmarkStart w:name="_Toc18" w:id="18"/>
      <w:r>
        <w:rPr>
          <w:rFonts w:ascii="Calibri" w:cs="Calibri" w:eastAsia="Calibri" w:hAnsi="Calibri"/>
        </w:rPr>
        <w:t xml:space="preserve">7. Plans and credits</w:t>
      </w:r>
      <w:bookmarkEnd w:id="18"/>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42"/>
        <w:gridCol w:w="1329"/>
        <w:gridCol w:w="1571"/>
        <w:gridCol w:w="1571"/>
        <w:gridCol w:w="1693"/>
      </w:tblGrid>
      <w:tr>
        <w:trPr>
          <w:tblHeader/>
        </w:trPr>
        <w:tc>
          <w:tcPr>
            <w:tcW w:type="dxa" w:w="3142"/>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
            </w:r>
          </w:p>
        </w:tc>
        <w:tc>
          <w:tcPr>
            <w:tcW w:type="dxa" w:w="1329"/>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Free</w:t>
            </w:r>
          </w:p>
        </w:tc>
        <w:tc>
          <w:tcPr>
            <w:tcW w:type="dxa" w:w="1571"/>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Pro</w:t>
            </w:r>
          </w:p>
        </w:tc>
        <w:tc>
          <w:tcPr>
            <w:tcW w:type="dxa" w:w="1571"/>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Business</w:t>
            </w:r>
          </w:p>
        </w:tc>
        <w:tc>
          <w:tcPr>
            <w:tcW w:type="dxa" w:w="1693"/>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Scale</w:t>
            </w:r>
          </w:p>
        </w:tc>
      </w:tr>
      <w:tr>
        <w:tc>
          <w:tcPr>
            <w:tcW w:type="dxa" w:w="31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Price per month (INR / USD)</w:t>
            </w:r>
          </w:p>
        </w:tc>
        <w:tc>
          <w:tcPr>
            <w:tcW w:type="dxa" w:w="132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₹0 / $0</w:t>
            </w:r>
          </w:p>
        </w:tc>
        <w:tc>
          <w:tcPr>
            <w:tcW w:type="dxa" w:w="1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₹1,499 / $19</w:t>
            </w:r>
          </w:p>
        </w:tc>
        <w:tc>
          <w:tcPr>
            <w:tcW w:type="dxa" w:w="1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₹5,999 / $79</w:t>
            </w:r>
          </w:p>
        </w:tc>
        <w:tc>
          <w:tcPr>
            <w:tcW w:type="dxa" w:w="169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₹11,999 / $149</w:t>
            </w:r>
          </w:p>
        </w:tc>
      </w:tr>
      <w:tr>
        <w:tc>
          <w:tcPr>
            <w:tcW w:type="dxa" w:w="3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Websites</w:t>
            </w:r>
          </w:p>
        </w:tc>
        <w:tc>
          <w:tcPr>
            <w:tcW w:type="dxa" w:w="132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w:t>
            </w:r>
          </w:p>
        </w:tc>
        <w:tc>
          <w:tcPr>
            <w:tcW w:type="dxa" w:w="157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3</w:t>
            </w:r>
          </w:p>
        </w:tc>
        <w:tc>
          <w:tcPr>
            <w:tcW w:type="dxa" w:w="157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10</w:t>
            </w:r>
          </w:p>
        </w:tc>
        <w:tc>
          <w:tcPr>
            <w:tcW w:type="dxa" w:w="169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25</w:t>
            </w:r>
          </w:p>
        </w:tc>
      </w:tr>
      <w:tr>
        <w:tc>
          <w:tcPr>
            <w:tcW w:type="dxa" w:w="31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Full-audit credits per month</w:t>
            </w:r>
          </w:p>
        </w:tc>
        <w:tc>
          <w:tcPr>
            <w:tcW w:type="dxa" w:w="132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w:t>
            </w:r>
          </w:p>
        </w:tc>
        <w:tc>
          <w:tcPr>
            <w:tcW w:type="dxa" w:w="1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3</w:t>
            </w:r>
          </w:p>
        </w:tc>
        <w:tc>
          <w:tcPr>
            <w:tcW w:type="dxa" w:w="1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7</w:t>
            </w:r>
          </w:p>
        </w:tc>
        <w:tc>
          <w:tcPr>
            <w:tcW w:type="dxa" w:w="169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11</w:t>
            </w:r>
          </w:p>
        </w:tc>
      </w:tr>
      <w:tr>
        <w:tc>
          <w:tcPr>
            <w:tcW w:type="dxa" w:w="3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Pages crawled per audit</w:t>
            </w:r>
          </w:p>
        </w:tc>
        <w:tc>
          <w:tcPr>
            <w:tcW w:type="dxa" w:w="132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10</w:t>
            </w:r>
          </w:p>
        </w:tc>
        <w:tc>
          <w:tcPr>
            <w:tcW w:type="dxa" w:w="157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50</w:t>
            </w:r>
          </w:p>
        </w:tc>
        <w:tc>
          <w:tcPr>
            <w:tcW w:type="dxa" w:w="157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100</w:t>
            </w:r>
          </w:p>
        </w:tc>
        <w:tc>
          <w:tcPr>
            <w:tcW w:type="dxa" w:w="169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100</w:t>
            </w:r>
          </w:p>
        </w:tc>
      </w:tr>
      <w:tr>
        <w:tc>
          <w:tcPr>
            <w:tcW w:type="dxa" w:w="31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Deep audit (500 pages, 3 credits)</w:t>
            </w:r>
          </w:p>
        </w:tc>
        <w:tc>
          <w:tcPr>
            <w:tcW w:type="dxa" w:w="132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w:t>
            </w:r>
          </w:p>
        </w:tc>
        <w:tc>
          <w:tcPr>
            <w:tcW w:type="dxa" w:w="1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w:t>
            </w:r>
          </w:p>
        </w:tc>
        <w:tc>
          <w:tcPr>
            <w:tcW w:type="dxa" w:w="1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Yes</w:t>
            </w:r>
          </w:p>
        </w:tc>
        <w:tc>
          <w:tcPr>
            <w:tcW w:type="dxa" w:w="169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Yes</w:t>
            </w:r>
          </w:p>
        </w:tc>
      </w:tr>
      <w:tr>
        <w:tc>
          <w:tcPr>
            <w:tcW w:type="dxa" w:w="3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Scheduled light checks</w:t>
            </w:r>
          </w:p>
        </w:tc>
        <w:tc>
          <w:tcPr>
            <w:tcW w:type="dxa" w:w="132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Weekly</w:t>
            </w:r>
          </w:p>
        </w:tc>
        <w:tc>
          <w:tcPr>
            <w:tcW w:type="dxa" w:w="157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Daily</w:t>
            </w:r>
          </w:p>
        </w:tc>
        <w:tc>
          <w:tcPr>
            <w:tcW w:type="dxa" w:w="157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Daily</w:t>
            </w:r>
          </w:p>
        </w:tc>
        <w:tc>
          <w:tcPr>
            <w:tcW w:type="dxa" w:w="169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Daily</w:t>
            </w:r>
          </w:p>
        </w:tc>
      </w:tr>
      <w:tr>
        <w:tc>
          <w:tcPr>
            <w:tcW w:type="dxa" w:w="314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Light checks per day</w:t>
            </w:r>
          </w:p>
        </w:tc>
        <w:tc>
          <w:tcPr>
            <w:tcW w:type="dxa" w:w="132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3</w:t>
            </w:r>
          </w:p>
        </w:tc>
        <w:tc>
          <w:tcPr>
            <w:tcW w:type="dxa" w:w="1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10</w:t>
            </w:r>
          </w:p>
        </w:tc>
        <w:tc>
          <w:tcPr>
            <w:tcW w:type="dxa" w:w="157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40</w:t>
            </w:r>
          </w:p>
        </w:tc>
        <w:tc>
          <w:tcPr>
            <w:tcW w:type="dxa" w:w="1693"/>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100</w:t>
            </w:r>
          </w:p>
        </w:tc>
      </w:tr>
      <w:tr>
        <w:tc>
          <w:tcPr>
            <w:tcW w:type="dxa" w:w="314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Credit packs</w:t>
            </w:r>
          </w:p>
        </w:tc>
        <w:tc>
          <w:tcPr>
            <w:tcW w:type="dxa" w:w="132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w:t>
            </w:r>
          </w:p>
        </w:tc>
        <w:tc>
          <w:tcPr>
            <w:tcW w:type="dxa" w:w="157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Yes</w:t>
            </w:r>
          </w:p>
        </w:tc>
        <w:tc>
          <w:tcPr>
            <w:tcW w:type="dxa" w:w="157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Yes</w:t>
            </w:r>
          </w:p>
        </w:tc>
        <w:tc>
          <w:tcPr>
            <w:tcW w:type="dxa" w:w="169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Yes</w:t>
            </w:r>
          </w:p>
        </w:tc>
      </w:tr>
    </w:tbl>
    <w:p>
      <w:pPr>
        <w:spacing w:after="120"/>
      </w:pPr>
    </w:p>
    <w:p>
      <w:pPr>
        <w:pStyle w:val="ListParagraph"/>
        <w:numPr>
          <w:ilvl w:val="0"/>
          <w:numId w:val="2"/>
        </w:numPr>
        <w:spacing w:after="60" w:line="276"/>
      </w:pPr>
      <w:r>
        <w:rPr>
          <w:rFonts w:ascii="Calibri" w:cs="Calibri" w:eastAsia="Calibri" w:hAnsi="Calibri"/>
          <w:color w:val="1F2937"/>
          <w:sz w:val="21"/>
          <w:szCs w:val="21"/>
        </w:rPr>
        <w:t xml:space="preserve">Full audit 1 credit, deep audit 3; light checks and opening saved reports are free. Monthly credits don't roll over.</w:t>
      </w:r>
    </w:p>
    <w:p>
      <w:pPr>
        <w:pStyle w:val="ListParagraph"/>
        <w:numPr>
          <w:ilvl w:val="0"/>
          <w:numId w:val="2"/>
        </w:numPr>
        <w:spacing w:after="60" w:line="276"/>
      </w:pPr>
      <w:r>
        <w:rPr>
          <w:rFonts w:ascii="Calibri" w:cs="Calibri" w:eastAsia="Calibri" w:hAnsi="Calibri"/>
          <w:color w:val="1F2937"/>
          <w:sz w:val="21"/>
          <w:szCs w:val="21"/>
        </w:rPr>
        <w:t xml:space="preserve">Packs: 5 credits for ₹1,199 / $15, 20 credits for ₹3,999 / $49, valid 12 months.</w:t>
      </w:r>
    </w:p>
    <w:p>
      <w:pPr>
        <w:pStyle w:val="ListParagraph"/>
        <w:numPr>
          <w:ilvl w:val="0"/>
          <w:numId w:val="2"/>
        </w:numPr>
        <w:spacing w:after="60" w:line="276"/>
      </w:pPr>
      <w:r>
        <w:rPr>
          <w:rFonts w:ascii="Calibri" w:cs="Calibri" w:eastAsia="Calibri" w:hAnsi="Calibri"/>
          <w:color w:val="1F2937"/>
          <w:sz w:val="21"/>
          <w:szCs w:val="21"/>
        </w:rPr>
        <w:t xml:space="preserve">Charged at the listed price (not GST-registered). USD only once Razorpay International Payments is enabled. No refunds on subscriptions; unused packs refundable within 7 days.</w:t>
      </w:r>
    </w:p>
    <w:p>
      <w:pPr>
        <w:pStyle w:val="Heading1"/>
        <w:pageBreakBefore/>
      </w:pPr>
      <w:bookmarkStart w:name="_Toc19" w:id="19"/>
      <w:r>
        <w:rPr>
          <w:rFonts w:ascii="Calibri" w:cs="Calibri" w:eastAsia="Calibri" w:hAnsi="Calibri"/>
        </w:rPr>
        <w:t xml:space="preserve">8. Data model</w:t>
      </w:r>
      <w:bookmarkEnd w:id="19"/>
    </w:p>
    <w:p>
      <w:pPr>
        <w:spacing w:after="60" w:before="120"/>
        <w:jc w:val="center"/>
      </w:pPr>
      <w:r>
        <w:drawing>
          <wp:inline distT="0" distB="0" distL="0" distR="0">
            <wp:extent cx="5905500" cy="3276600"/>
            <wp:effectExtent t="0" r="0" b="0" l="0"/>
            <wp:docPr id="5" name="Figure 5. Data model (Neon Postgres)" descr="Figure 5. Data model (Neon Postgres)" title="Figure 5. Data model (Neon Postg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76600"/>
                    </a:xfrm>
                    <a:prstGeom prst="rect">
                      <a:avLst/>
                    </a:prstGeom>
                  </pic:spPr>
                </pic:pic>
              </a:graphicData>
            </a:graphic>
          </wp:inline>
        </w:drawing>
      </w:r>
    </w:p>
    <w:p>
      <w:pPr>
        <w:spacing w:after="240"/>
        <w:jc w:val="center"/>
      </w:pPr>
      <w:r>
        <w:rPr>
          <w:rFonts w:ascii="Calibri" w:cs="Calibri" w:eastAsia="Calibri" w:hAnsi="Calibri"/>
          <w:i/>
          <w:iCs/>
          <w:color w:val="4B5563"/>
          <w:sz w:val="18"/>
          <w:szCs w:val="18"/>
        </w:rPr>
        <w:t xml:space="preserve">Figure 5. Data model (Neon Postgres)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951"/>
        <w:gridCol w:w="5355"/>
      </w:tblGrid>
      <w:tr>
        <w:trPr>
          <w:tblHeader/>
        </w:trPr>
        <w:tc>
          <w:tcPr>
            <w:tcW w:type="dxa" w:w="3951"/>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Table</w:t>
            </w:r>
          </w:p>
        </w:tc>
        <w:tc>
          <w:tcPr>
            <w:tcW w:type="dxa" w:w="5355"/>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Holds</w:t>
            </w:r>
          </w:p>
        </w:tc>
      </w:tr>
      <w:tr>
        <w:tc>
          <w:tcPr>
            <w:tcW w:type="dxa" w:w="395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user, session, account, verification, rateLimit</w:t>
            </w:r>
          </w:p>
        </w:tc>
        <w:tc>
          <w:tcPr>
            <w:tcW w:type="dxa" w:w="535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Better Auth: accounts, sessions, sign-in rate-limit counters.</w:t>
            </w:r>
          </w:p>
        </w:tc>
      </w:tr>
      <w:tr>
        <w:tc>
          <w:tcPr>
            <w:tcW w:type="dxa" w:w="395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sites</w:t>
            </w:r>
          </w:p>
        </w:tc>
        <w:tc>
          <w:tcPr>
            <w:tcW w:type="dxa" w:w="53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Domain, light-check cadence, monthly-audit opt-in, deploy token.</w:t>
            </w:r>
          </w:p>
        </w:tc>
      </w:tr>
      <w:tr>
        <w:tc>
          <w:tcPr>
            <w:tcW w:type="dxa" w:w="395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audits</w:t>
            </w:r>
          </w:p>
        </w:tc>
        <w:tc>
          <w:tcPr>
            <w:tcW w:type="dxa" w:w="535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Every stored report, kind full, deep or check, with module scores.</w:t>
            </w:r>
          </w:p>
        </w:tc>
      </w:tr>
      <w:tr>
        <w:tc>
          <w:tcPr>
            <w:tcW w:type="dxa" w:w="395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issues, verifications, link_checks, alerts</w:t>
            </w:r>
          </w:p>
        </w:tc>
        <w:tc>
          <w:tcPr>
            <w:tcW w:type="dxa" w:w="53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Issue history, 'Mark fixed' verdicts, broken links, alerts.</w:t>
            </w:r>
          </w:p>
        </w:tc>
      </w:tr>
      <w:tr>
        <w:tc>
          <w:tcPr>
            <w:tcW w:type="dxa" w:w="395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jobs</w:t>
            </w:r>
          </w:p>
        </w:tc>
        <w:tc>
          <w:tcPr>
            <w:tcW w:type="dxa" w:w="535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Background queue: audit, check, verify, links.</w:t>
            </w:r>
          </w:p>
        </w:tc>
      </w:tr>
      <w:tr>
        <w:tc>
          <w:tcPr>
            <w:tcW w:type="dxa" w:w="395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subscriptions, billing_events, payments, credit_orders</w:t>
            </w:r>
          </w:p>
        </w:tc>
        <w:tc>
          <w:tcPr>
            <w:tcW w:type="dxa" w:w="53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Razorpay state, webhook dedupe, payment history, pack orders.</w:t>
            </w:r>
          </w:p>
        </w:tc>
      </w:tr>
      <w:tr>
        <w:tc>
          <w:tcPr>
            <w:tcW w:type="dxa" w:w="395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credit_grants, credit_reservations, credit_ledger</w:t>
            </w:r>
          </w:p>
        </w:tc>
        <w:tc>
          <w:tcPr>
            <w:tcW w:type="dxa" w:w="5355"/>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Credit buckets, holds for queued audits, append-only movement log.</w:t>
            </w:r>
          </w:p>
        </w:tc>
      </w:tr>
      <w:tr>
        <w:tc>
          <w:tcPr>
            <w:tcW w:type="dxa" w:w="395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preview_usage</w:t>
            </w:r>
          </w:p>
        </w:tc>
        <w:tc>
          <w:tcPr>
            <w:tcW w:type="dxa" w:w="535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Daily anonymous-preview counts per hashed IP.</w:t>
            </w:r>
          </w:p>
        </w:tc>
      </w:tr>
    </w:tbl>
    <w:p>
      <w:pPr>
        <w:spacing w:after="120"/>
      </w:pPr>
    </w:p>
    <w:p>
      <w:pPr>
        <w:spacing w:after="120" w:line="288"/>
      </w:pPr>
      <w:r>
        <w:rPr>
          <w:rFonts w:ascii="Calibri" w:cs="Calibri" w:eastAsia="Calibri" w:hAnsi="Calibri"/>
          <w:color w:val="1F2937"/>
          <w:sz w:val="21"/>
          <w:szCs w:val="21"/>
        </w:rPr>
        <w:t xml:space="preserve">Migrations: 0001_initial (platform schema) and 0002_credits_billing (credits, payments, preview usage; additive, existing rows kept).</w:t>
      </w:r>
    </w:p>
    <w:p>
      <w:pPr>
        <w:pStyle w:val="Heading1"/>
        <w:pageBreakBefore/>
      </w:pPr>
      <w:bookmarkStart w:name="_Toc20" w:id="20"/>
      <w:r>
        <w:rPr>
          <w:rFonts w:ascii="Calibri" w:cs="Calibri" w:eastAsia="Calibri" w:hAnsi="Calibri"/>
        </w:rPr>
        <w:t xml:space="preserve">9. Security</w:t>
      </w:r>
      <w:bookmarkEnd w:id="20"/>
    </w:p>
    <w:p>
      <w:pPr>
        <w:pStyle w:val="ListParagraph"/>
        <w:numPr>
          <w:ilvl w:val="0"/>
          <w:numId w:val="2"/>
        </w:numPr>
        <w:spacing w:after="60" w:line="276"/>
      </w:pPr>
      <w:r>
        <w:rPr>
          <w:rFonts w:ascii="Calibri" w:cs="Calibri" w:eastAsia="Calibri" w:hAnsi="Calibri"/>
          <w:b/>
          <w:bCs/>
          <w:color w:val="1F2937"/>
          <w:sz w:val="21"/>
          <w:szCs w:val="21"/>
        </w:rPr>
        <w:t xml:space="preserve">Authorisation. </w:t>
      </w:r>
      <w:r>
        <w:rPr>
          <w:rFonts w:ascii="Calibri" w:cs="Calibri" w:eastAsia="Calibri" w:hAnsi="Calibri"/>
          <w:color w:val="1F2937"/>
          <w:sz w:val="21"/>
          <w:szCs w:val="21"/>
        </w:rPr>
        <w:t xml:space="preserve">Every route loads data through the signed-in user; other users' sites and reports return 404.</w:t>
      </w:r>
    </w:p>
    <w:p>
      <w:pPr>
        <w:pStyle w:val="ListParagraph"/>
        <w:numPr>
          <w:ilvl w:val="0"/>
          <w:numId w:val="2"/>
        </w:numPr>
        <w:spacing w:after="60" w:line="276"/>
      </w:pPr>
      <w:r>
        <w:rPr>
          <w:rFonts w:ascii="Calibri" w:cs="Calibri" w:eastAsia="Calibri" w:hAnsi="Calibri"/>
          <w:b/>
          <w:bCs/>
          <w:color w:val="1F2937"/>
          <w:sz w:val="21"/>
          <w:szCs w:val="21"/>
        </w:rPr>
        <w:t xml:space="preserve">Outbound requests. </w:t>
      </w:r>
      <w:r>
        <w:rPr>
          <w:rFonts w:ascii="Calibri" w:cs="Calibri" w:eastAsia="Calibri" w:hAnsi="Calibri"/>
          <w:color w:val="1F2937"/>
          <w:sz w:val="21"/>
          <w:szCs w:val="21"/>
        </w:rPr>
        <w:t xml:space="preserve">http/https only, every redirect hop checked against private and reserved networks, connection pinned to the checked IP. The headless browser routes every request through the same check and blocks service workers.</w:t>
      </w:r>
    </w:p>
    <w:p>
      <w:pPr>
        <w:pStyle w:val="ListParagraph"/>
        <w:numPr>
          <w:ilvl w:val="0"/>
          <w:numId w:val="2"/>
        </w:numPr>
        <w:spacing w:after="60" w:line="276"/>
      </w:pPr>
      <w:r>
        <w:rPr>
          <w:rFonts w:ascii="Calibri" w:cs="Calibri" w:eastAsia="Calibri" w:hAnsi="Calibri"/>
          <w:b/>
          <w:bCs/>
          <w:color w:val="1F2937"/>
          <w:sz w:val="21"/>
          <w:szCs w:val="21"/>
        </w:rPr>
        <w:t xml:space="preserve">Payments. </w:t>
      </w:r>
      <w:r>
        <w:rPr>
          <w:rFonts w:ascii="Calibri" w:cs="Calibri" w:eastAsia="Calibri" w:hAnsi="Calibri"/>
          <w:color w:val="1F2937"/>
          <w:sz w:val="21"/>
          <w:szCs w:val="21"/>
        </w:rPr>
        <w:t xml:space="preserve">HMAC-verified checkout and webhooks, server-side prices, owner checks, idempotent grants, duplicate and out-of-order protection.</w:t>
      </w:r>
    </w:p>
    <w:p>
      <w:pPr>
        <w:pStyle w:val="ListParagraph"/>
        <w:numPr>
          <w:ilvl w:val="0"/>
          <w:numId w:val="2"/>
        </w:numPr>
        <w:spacing w:after="60" w:line="276"/>
      </w:pPr>
      <w:r>
        <w:rPr>
          <w:rFonts w:ascii="Calibri" w:cs="Calibri" w:eastAsia="Calibri" w:hAnsi="Calibri"/>
          <w:b/>
          <w:bCs/>
          <w:color w:val="1F2937"/>
          <w:sz w:val="21"/>
          <w:szCs w:val="21"/>
        </w:rPr>
        <w:t xml:space="preserve">Abuse limits. </w:t>
      </w:r>
      <w:r>
        <w:rPr>
          <w:rFonts w:ascii="Calibri" w:cs="Calibri" w:eastAsia="Calibri" w:hAnsi="Calibri"/>
          <w:color w:val="1F2937"/>
          <w:sz w:val="21"/>
          <w:szCs w:val="21"/>
        </w:rPr>
        <w:t xml:space="preserve">Credits and daily caps; previews limited per salted IP hash; X-Forwarded-For trusted only through configured proxy hops; database-backed sign-in limits.</w:t>
      </w:r>
    </w:p>
    <w:p>
      <w:pPr>
        <w:pStyle w:val="ListParagraph"/>
        <w:numPr>
          <w:ilvl w:val="0"/>
          <w:numId w:val="2"/>
        </w:numPr>
        <w:spacing w:after="60" w:line="276"/>
      </w:pPr>
      <w:r>
        <w:rPr>
          <w:rFonts w:ascii="Calibri" w:cs="Calibri" w:eastAsia="Calibri" w:hAnsi="Calibri"/>
          <w:b/>
          <w:bCs/>
          <w:color w:val="1F2937"/>
          <w:sz w:val="21"/>
          <w:szCs w:val="21"/>
        </w:rPr>
        <w:t xml:space="preserve">Browser protections. </w:t>
      </w:r>
      <w:r>
        <w:rPr>
          <w:rFonts w:ascii="Calibri" w:cs="Calibri" w:eastAsia="Calibri" w:hAnsi="Calibri"/>
          <w:color w:val="1F2937"/>
          <w:sz w:val="21"/>
          <w:szCs w:val="21"/>
        </w:rPr>
        <w:t xml:space="preserve">No framing (clickjacking), nosniff, HSTS, strict referrer policy, permissions policy that only lets Razorpay request payments.</w:t>
      </w:r>
    </w:p>
    <w:p>
      <w:pPr>
        <w:pStyle w:val="ListParagraph"/>
        <w:numPr>
          <w:ilvl w:val="0"/>
          <w:numId w:val="2"/>
        </w:numPr>
        <w:spacing w:after="60" w:line="276"/>
      </w:pPr>
      <w:r>
        <w:rPr>
          <w:rFonts w:ascii="Calibri" w:cs="Calibri" w:eastAsia="Calibri" w:hAnsi="Calibri"/>
          <w:b/>
          <w:bCs/>
          <w:color w:val="1F2937"/>
          <w:sz w:val="21"/>
          <w:szCs w:val="21"/>
        </w:rPr>
        <w:t xml:space="preserve">Secrets. </w:t>
      </w:r>
      <w:r>
        <w:rPr>
          <w:rFonts w:ascii="Calibri" w:cs="Calibri" w:eastAsia="Calibri" w:hAnsi="Calibri"/>
          <w:color w:val="1F2937"/>
          <w:sz w:val="21"/>
          <w:szCs w:val="21"/>
        </w:rPr>
        <w:t xml:space="preserve">Keys live only in host settings and gitignored .env files. Keys pasted into chat must be rotated.</w:t>
      </w:r>
    </w:p>
    <w:p>
      <w:pPr>
        <w:pStyle w:val="Heading1"/>
        <w:pageBreakBefore/>
      </w:pPr>
      <w:bookmarkStart w:name="_Toc21" w:id="21"/>
      <w:r>
        <w:rPr>
          <w:rFonts w:ascii="Calibri" w:cs="Calibri" w:eastAsia="Calibri" w:hAnsi="Calibri"/>
        </w:rPr>
        <w:t xml:space="preserve">10. API reference</w:t>
      </w:r>
      <w:bookmarkEnd w:id="21"/>
    </w:p>
    <w:p>
      <w:pPr>
        <w:spacing w:after="120" w:line="288"/>
      </w:pPr>
      <w:r>
        <w:rPr>
          <w:rFonts w:ascii="Calibri" w:cs="Calibri" w:eastAsia="Calibri" w:hAnsi="Calibri"/>
          <w:color w:val="1F2937"/>
          <w:sz w:val="21"/>
          <w:szCs w:val="21"/>
        </w:rPr>
        <w:t xml:space="preserve">All routes except health, the preview, screenshots, the deploy hook and the webhook require the Better Auth session cookie.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12"/>
        <w:gridCol w:w="4334"/>
        <w:gridCol w:w="3060"/>
      </w:tblGrid>
      <w:tr>
        <w:trPr>
          <w:tblHeader/>
        </w:trPr>
        <w:tc>
          <w:tcPr>
            <w:tcW w:type="dxa" w:w="1912"/>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Method</w:t>
            </w:r>
          </w:p>
        </w:tc>
        <w:tc>
          <w:tcPr>
            <w:tcW w:type="dxa" w:w="4334"/>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Route</w:t>
            </w:r>
          </w:p>
        </w:tc>
        <w:tc>
          <w:tcPr>
            <w:tcW w:type="dxa" w:w="3060"/>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Purpose</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/api/health</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Health and database status</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/api/audit/stream</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Anonymous preview (event stream)</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/api/audit</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Anonymous preview (JSON)</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/api/shots/{name}</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Visual Doctor screenshot</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/api/me</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Signed-in user</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 POST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List / add websites</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 PATCH, DELETE</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Read / update / delete a website</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/api/sites/{id}/audits</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Full or deep audit (credits)</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/api/sites/{id}/check</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Light check (free, capped)</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/api/sites/{id}/history</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Score history</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/api/sites/{id}/audits/{audit}</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Stored report</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/api/sites/{id}/issues</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Issues</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/api/sites/{id}/issues/{issue}/verify</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'Mark fixed'</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/api/sites/{id}/verifications</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Verification results</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/api/sites/{id}/links</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Broken links</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/api/sites/{id}/status</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Running and queued jobs</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 POST, DELETE</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/api/sites/{id}/deploy-hook</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Deploy hook URL</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/api/hooks/deploy/{token}</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Deploy hook (called by CI)</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/api/sites/{id}/rewrite</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AI rewrite (optional)</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 POST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/api/alerts, /api/alerts/read</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Alerts inbox</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/api/billing</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Plan, credits, usage</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/api/billing/subscribe, /verify, /cancel</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Subscription lifecycle</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/api/billing/change-plan</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Upgrade or downgrade</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/api/billing/packs/{pack}/order, /packs/verify</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Credit packs</w:t>
            </w:r>
          </w:p>
        </w:tc>
      </w:tr>
      <w:tr>
        <w:tc>
          <w:tcPr>
            <w:tcW w:type="dxa" w:w="191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GET</w:t>
            </w:r>
          </w:p>
        </w:tc>
        <w:tc>
          <w:tcPr>
            <w:tcW w:type="dxa" w:w="43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/api/billing/payments</w:t>
            </w:r>
          </w:p>
        </w:tc>
        <w:tc>
          <w:tcPr>
            <w:tcW w:type="dxa" w:w="30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Payment history</w:t>
            </w:r>
          </w:p>
        </w:tc>
      </w:tr>
      <w:tr>
        <w:tc>
          <w:tcPr>
            <w:tcW w:type="dxa" w:w="191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POST</w:t>
            </w:r>
          </w:p>
        </w:tc>
        <w:tc>
          <w:tcPr>
            <w:tcW w:type="dxa" w:w="433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/api/webhooks/razorpay</w:t>
            </w:r>
          </w:p>
        </w:tc>
        <w:tc>
          <w:tcPr>
            <w:tcW w:type="dxa" w:w="306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Razorpay webhook</w:t>
            </w:r>
          </w:p>
        </w:tc>
      </w:tr>
    </w:tbl>
    <w:p>
      <w:pPr>
        <w:pStyle w:val="Heading1"/>
        <w:pageBreakBefore/>
      </w:pPr>
      <w:bookmarkStart w:name="_Toc22" w:id="22"/>
      <w:r>
        <w:rPr>
          <w:rFonts w:ascii="Calibri" w:cs="Calibri" w:eastAsia="Calibri" w:hAnsi="Calibri"/>
        </w:rPr>
        <w:t xml:space="preserve">11. Deployment and operations</w:t>
      </w:r>
      <w:bookmarkEnd w:id="22"/>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29"/>
        <w:gridCol w:w="3441"/>
        <w:gridCol w:w="4336"/>
      </w:tblGrid>
      <w:tr>
        <w:trPr>
          <w:tblHeader/>
        </w:trPr>
        <w:tc>
          <w:tcPr>
            <w:tcW w:type="dxa" w:w="1529"/>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Piece</w:t>
            </w:r>
          </w:p>
        </w:tc>
        <w:tc>
          <w:tcPr>
            <w:tcW w:type="dxa" w:w="3441"/>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Where</w:t>
            </w:r>
          </w:p>
        </w:tc>
        <w:tc>
          <w:tcPr>
            <w:tcW w:type="dxa" w:w="4336"/>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How it is deployed</w:t>
            </w:r>
          </w:p>
        </w:tc>
      </w:tr>
      <w:tr>
        <w:tc>
          <w:tcPr>
            <w:tcW w:type="dxa" w:w="152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Website</w:t>
            </w:r>
          </w:p>
        </w:tc>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Vercel project 'rankwise'</w:t>
            </w:r>
          </w:p>
        </w:tc>
        <w:tc>
          <w:tcPr>
            <w:tcW w:type="dxa" w:w="433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vercel --prod from the repo root (root directory: frontend)</w:t>
            </w:r>
          </w:p>
        </w:tc>
      </w:tr>
      <w:tr>
        <w:tc>
          <w:tcPr>
            <w:tcW w:type="dxa" w:w="152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API</w:t>
            </w:r>
          </w:p>
        </w:tc>
        <w:tc>
          <w:tcPr>
            <w:tcW w:type="dxa" w:w="3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Render service 'Ira-Analytics' (Python 3.13)</w:t>
            </w:r>
          </w:p>
        </w:tc>
        <w:tc>
          <w:tcPr>
            <w:tcW w:type="dxa" w:w="43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Builds from GitHub main; root main.py runs migrations then serves the app</w:t>
            </w:r>
          </w:p>
        </w:tc>
      </w:tr>
      <w:tr>
        <w:tc>
          <w:tcPr>
            <w:tcW w:type="dxa" w:w="152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Database</w:t>
            </w:r>
          </w:p>
        </w:tc>
        <w:tc>
          <w:tcPr>
            <w:tcW w:type="dxa" w:w="3441"/>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Neon, us-east-2</w:t>
            </w:r>
          </w:p>
        </w:tc>
        <w:tc>
          <w:tcPr>
            <w:tcW w:type="dxa" w:w="433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Alembic on API start; Better Auth tables via 'npx auth migrate'</w:t>
            </w:r>
          </w:p>
        </w:tc>
      </w:tr>
      <w:tr>
        <w:tc>
          <w:tcPr>
            <w:tcW w:type="dxa" w:w="152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Payments</w:t>
            </w:r>
          </w:p>
        </w:tc>
        <w:tc>
          <w:tcPr>
            <w:tcW w:type="dxa" w:w="344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Razorpay</w:t>
            </w:r>
          </w:p>
        </w:tc>
        <w:tc>
          <w:tcPr>
            <w:tcW w:type="dxa" w:w="43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scripts/create_razorpay_plans.py; webhook to /api/webhooks/razorpay</w:t>
            </w:r>
          </w:p>
        </w:tc>
      </w:tr>
    </w:tbl>
    <w:p>
      <w:pPr>
        <w:spacing w:after="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824"/>
        <w:gridCol w:w="5482"/>
      </w:tblGrid>
      <w:tr>
        <w:trPr>
          <w:tblHeader/>
        </w:trPr>
        <w:tc>
          <w:tcPr>
            <w:tcW w:type="dxa" w:w="3824"/>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Render variable</w:t>
            </w:r>
          </w:p>
        </w:tc>
        <w:tc>
          <w:tcPr>
            <w:tcW w:type="dxa" w:w="5482"/>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Value / purpose</w:t>
            </w:r>
          </w:p>
        </w:tc>
      </w:tr>
      <w:tr>
        <w:tc>
          <w:tcPr>
            <w:tcW w:type="dxa" w:w="38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DATABASE_URL</w:t>
            </w:r>
          </w:p>
        </w:tc>
        <w:tc>
          <w:tcPr>
            <w:tcW w:type="dxa" w:w="548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Neon direct connection string</w:t>
            </w:r>
          </w:p>
        </w:tc>
      </w:tr>
      <w:tr>
        <w:tc>
          <w:tcPr>
            <w:tcW w:type="dxa" w:w="38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EMBEDDED_WORKER</w:t>
            </w:r>
          </w:p>
        </w:tc>
        <w:tc>
          <w:tcPr>
            <w:tcW w:type="dxa" w:w="548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true: run the job queue inside the API</w:t>
            </w:r>
          </w:p>
        </w:tc>
      </w:tr>
      <w:tr>
        <w:tc>
          <w:tcPr>
            <w:tcW w:type="dxa" w:w="38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TRUSTED_PROXY_HOPS</w:t>
            </w:r>
          </w:p>
        </w:tc>
        <w:tc>
          <w:tcPr>
            <w:tcW w:type="dxa" w:w="548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1: count previews per real visitor</w:t>
            </w:r>
          </w:p>
        </w:tc>
      </w:tr>
      <w:tr>
        <w:tc>
          <w:tcPr>
            <w:tcW w:type="dxa" w:w="38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BROWSER_CHECKS, LOCAL_LIGHTHOUSE</w:t>
            </w:r>
          </w:p>
        </w:tc>
        <w:tc>
          <w:tcPr>
            <w:tcW w:type="dxa" w:w="548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false on the free plan</w:t>
            </w:r>
          </w:p>
        </w:tc>
      </w:tr>
      <w:tr>
        <w:tc>
          <w:tcPr>
            <w:tcW w:type="dxa" w:w="38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PAGESPEED_API_KEY</w:t>
            </w:r>
          </w:p>
        </w:tc>
        <w:tc>
          <w:tcPr>
            <w:tcW w:type="dxa" w:w="548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Speed scores via Google PageSpeed</w:t>
            </w:r>
          </w:p>
        </w:tc>
      </w:tr>
      <w:tr>
        <w:tc>
          <w:tcPr>
            <w:tcW w:type="dxa" w:w="38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PUBLIC_API_URL</w:t>
            </w:r>
          </w:p>
        </w:tc>
        <w:tc>
          <w:tcPr>
            <w:tcW w:type="dxa" w:w="548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https://ira-analytics.onrender.com</w:t>
            </w:r>
          </w:p>
        </w:tc>
      </w:tr>
      <w:tr>
        <w:tc>
          <w:tcPr>
            <w:tcW w:type="dxa" w:w="38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PREVIEW_SALT</w:t>
            </w:r>
          </w:p>
        </w:tc>
        <w:tc>
          <w:tcPr>
            <w:tcW w:type="dxa" w:w="548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Random string for hashing visitor IPs</w:t>
            </w:r>
          </w:p>
        </w:tc>
      </w:tr>
      <w:tr>
        <w:tc>
          <w:tcPr>
            <w:tcW w:type="dxa" w:w="382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CORS_ORIGINS</w:t>
            </w:r>
          </w:p>
        </w:tc>
        <w:tc>
          <w:tcPr>
            <w:tcW w:type="dxa" w:w="548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https://rankwise-xi.vercel.app</w:t>
            </w:r>
          </w:p>
        </w:tc>
      </w:tr>
      <w:tr>
        <w:tc>
          <w:tcPr>
            <w:tcW w:type="dxa" w:w="38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RAZORPAY_* (key id, secret, webhook secret, plans)</w:t>
            </w:r>
          </w:p>
        </w:tc>
        <w:tc>
          <w:tcPr>
            <w:tcW w:type="dxa" w:w="548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Test keys first, live keys after approval</w:t>
            </w:r>
          </w:p>
        </w:tc>
      </w:tr>
    </w:tbl>
    <w:p>
      <w:pPr>
        <w:spacing w:after="120"/>
      </w:pPr>
    </w:p>
    <w:p>
      <w:pPr>
        <w:pStyle w:val="ListParagraph"/>
        <w:numPr>
          <w:ilvl w:val="0"/>
          <w:numId w:val="2"/>
        </w:numPr>
        <w:spacing w:after="60" w:line="276"/>
      </w:pPr>
      <w:r>
        <w:rPr>
          <w:rFonts w:ascii="Calibri" w:cs="Calibri" w:eastAsia="Calibri" w:hAnsi="Calibri"/>
          <w:color w:val="1F2937"/>
          <w:sz w:val="21"/>
          <w:szCs w:val="21"/>
        </w:rPr>
        <w:t xml:space="preserve">Vercel: NEXT_PUBLIC_API_URL and BACKEND_URL (Render URL; redeploy after changing), DATABASE_URL (Neon pooled), BETTER_AUTH_SECRET, BETTER_AUTH_URL.</w:t>
      </w:r>
    </w:p>
    <w:p>
      <w:pPr>
        <w:pStyle w:val="Heading1"/>
        <w:pageBreakBefore/>
      </w:pPr>
      <w:bookmarkStart w:name="_Toc23" w:id="23"/>
      <w:r>
        <w:rPr>
          <w:rFonts w:ascii="Calibri" w:cs="Calibri" w:eastAsia="Calibri" w:hAnsi="Calibri"/>
        </w:rPr>
        <w:t xml:space="preserve">12. Testing</w:t>
      </w:r>
      <w:bookmarkEnd w:id="23"/>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59"/>
        <w:gridCol w:w="6247"/>
      </w:tblGrid>
      <w:tr>
        <w:trPr>
          <w:tblHeader/>
        </w:trPr>
        <w:tc>
          <w:tcPr>
            <w:tcW w:type="dxa" w:w="3059"/>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Suite</w:t>
            </w:r>
          </w:p>
        </w:tc>
        <w:tc>
          <w:tcPr>
            <w:tcW w:type="dxa" w:w="6247"/>
            <w:tcBorders>
              <w:top w:val="single" w:color="D1D5DB" w:sz="4"/>
              <w:left w:val="single" w:color="D1D5DB" w:sz="4"/>
              <w:bottom w:val="single" w:color="D1D5DB" w:sz="4"/>
              <w:right w:val="single" w:color="D1D5DB" w:sz="4"/>
            </w:tcBorders>
            <w:shd w:fill="EDE9FE" w:color="auto" w:val="clear"/>
            <w:tcMar>
              <w:top w:type="dxa" w:w="60"/>
              <w:left w:type="dxa" w:w="100"/>
              <w:bottom w:type="dxa" w:w="60"/>
              <w:right w:type="dxa" w:w="100"/>
            </w:tcMar>
          </w:tcPr>
          <w:p>
            <w:pPr>
              <w:spacing w:after="0" w:line="264"/>
            </w:pPr>
            <w:r>
              <w:rPr>
                <w:rFonts w:ascii="Calibri" w:cs="Calibri" w:eastAsia="Calibri" w:hAnsi="Calibri"/>
                <w:b/>
                <w:bCs/>
                <w:color w:val="3B0764"/>
                <w:sz w:val="19"/>
                <w:szCs w:val="19"/>
              </w:rPr>
              <w:t xml:space="preserve">Covers</w:t>
            </w:r>
          </w:p>
        </w:tc>
      </w:tr>
      <w:tr>
        <w:tc>
          <w:tcPr>
            <w:tcW w:type="dxa" w:w="305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test_credits.py</w:t>
            </w:r>
          </w:p>
        </w:tc>
        <w:tc>
          <w:tcPr>
            <w:tcW w:type="dxa" w:w="624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Grants, reservations, capture, refunds, expiry, 20 parallel reserves against 3 credits, idempotent retries.</w:t>
            </w:r>
          </w:p>
        </w:tc>
      </w:tr>
      <w:tr>
        <w:tc>
          <w:tcPr>
            <w:tcW w:type="dxa" w:w="305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test_enforcement.py</w:t>
            </w:r>
          </w:p>
        </w:tc>
        <w:tc>
          <w:tcPr>
            <w:tcW w:type="dxa" w:w="62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Charging, refunds, deep-audit gating, forged jobs, light-check caps, deploy cooldown, other users' data, parallel site creation, scheduler, preview limits, billing dashboard.</w:t>
            </w:r>
          </w:p>
        </w:tc>
      </w:tr>
      <w:tr>
        <w:tc>
          <w:tcPr>
            <w:tcW w:type="dxa" w:w="305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test_payments.py</w:t>
            </w:r>
          </w:p>
        </w:tc>
        <w:tc>
          <w:tcPr>
            <w:tcW w:type="dxa" w:w="624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Webhook signatures and event ids, duplicates, out-of-order events, renewals, failed payments, checkout verify, plan changes, credit packs.</w:t>
            </w:r>
          </w:p>
        </w:tc>
      </w:tr>
      <w:tr>
        <w:tc>
          <w:tcPr>
            <w:tcW w:type="dxa" w:w="305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test_account_deletion.py, test_retention.py</w:t>
            </w:r>
          </w:p>
        </w:tc>
        <w:tc>
          <w:tcPr>
            <w:tcW w:type="dxa" w:w="624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Account deletion cascade; daily clean-up keeps what matters.</w:t>
            </w:r>
          </w:p>
        </w:tc>
      </w:tr>
      <w:tr>
        <w:tc>
          <w:tcPr>
            <w:tcW w:type="dxa" w:w="305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Earlier suites</w:t>
            </w:r>
          </w:p>
        </w:tc>
        <w:tc>
          <w:tcPr>
            <w:tcW w:type="dxa" w:w="624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line="264"/>
            </w:pPr>
            <w:r>
              <w:rPr>
                <w:rFonts w:ascii="Calibri" w:cs="Calibri" w:eastAsia="Calibri" w:hAnsi="Calibri"/>
                <w:color w:val="1F2937"/>
                <w:sz w:val="19"/>
                <w:szCs w:val="19"/>
              </w:rPr>
              <w:t xml:space="preserve">Billing signatures, plan table, deploy config, fix snippets, monitoring, verification, storage.</w:t>
            </w:r>
          </w:p>
        </w:tc>
      </w:tr>
    </w:tbl>
    <w:p>
      <w:pPr>
        <w:spacing w:after="120"/>
      </w:pPr>
    </w:p>
    <w:p>
      <w:pPr>
        <w:spacing w:after="120" w:line="288"/>
      </w:pPr>
      <w:r>
        <w:rPr>
          <w:rFonts w:ascii="Calibri" w:cs="Calibri" w:eastAsia="Calibri" w:hAnsi="Calibri"/>
          <w:color w:val="1F2937"/>
          <w:sz w:val="21"/>
          <w:szCs w:val="21"/>
        </w:rPr>
        <w:t xml:space="preserve">Database tests use a disposable local Postgres and refuse any non-local host. The frontend is checked with a typecheck, ESLint and a production build. A GitHub Actions workflow running all of this is written and waiting for GitHub permission.</w:t>
      </w:r>
    </w:p>
    <w:p>
      <w:pPr>
        <w:pStyle w:val="Heading1"/>
        <w:pageBreakBefore/>
      </w:pPr>
      <w:bookmarkStart w:name="_Toc24" w:id="24"/>
      <w:r>
        <w:rPr>
          <w:rFonts w:ascii="Calibri" w:cs="Calibri" w:eastAsia="Calibri" w:hAnsi="Calibri"/>
        </w:rPr>
        <w:t xml:space="preserve">13. Status and next steps</w:t>
      </w:r>
      <w:bookmarkEnd w:id="24"/>
    </w:p>
    <w:p>
      <w:pPr>
        <w:pStyle w:val="Heading2"/>
      </w:pPr>
      <w:bookmarkStart w:name="_Toc25" w:id="25"/>
      <w:r>
        <w:rPr>
          <w:rFonts w:ascii="Calibri" w:cs="Calibri" w:eastAsia="Calibri" w:hAnsi="Calibri"/>
        </w:rPr>
        <w:t xml:space="preserve">13.1 Before taking real money</w:t>
      </w:r>
      <w:bookmarkEnd w:id="25"/>
    </w:p>
    <w:p>
      <w:pPr>
        <w:pStyle w:val="ListParagraph"/>
        <w:numPr>
          <w:ilvl w:val="0"/>
          <w:numId w:val="2"/>
        </w:numPr>
        <w:spacing w:after="60" w:line="276"/>
      </w:pPr>
      <w:r>
        <w:rPr>
          <w:rFonts w:ascii="Calibri" w:cs="Calibri" w:eastAsia="Calibri" w:hAnsi="Calibri"/>
          <w:color w:val="1F2937"/>
          <w:sz w:val="21"/>
          <w:szCs w:val="21"/>
        </w:rPr>
        <w:t xml:space="preserve">Run 'npx auth migrate' on production for the rate-limit table, then redeploy the website.</w:t>
      </w:r>
    </w:p>
    <w:p>
      <w:pPr>
        <w:pStyle w:val="ListParagraph"/>
        <w:numPr>
          <w:ilvl w:val="0"/>
          <w:numId w:val="2"/>
        </w:numPr>
        <w:spacing w:after="60" w:line="276"/>
      </w:pPr>
      <w:r>
        <w:rPr>
          <w:rFonts w:ascii="Calibri" w:cs="Calibri" w:eastAsia="Calibri" w:hAnsi="Calibri"/>
          <w:color w:val="1F2937"/>
          <w:sz w:val="21"/>
          <w:szCs w:val="21"/>
        </w:rPr>
        <w:t xml:space="preserve">Finish the Render environment variables and turn on Auto-Deploy.</w:t>
      </w:r>
    </w:p>
    <w:p>
      <w:pPr>
        <w:pStyle w:val="ListParagraph"/>
        <w:numPr>
          <w:ilvl w:val="0"/>
          <w:numId w:val="2"/>
        </w:numPr>
        <w:spacing w:after="60" w:line="276"/>
      </w:pPr>
      <w:r>
        <w:rPr>
          <w:rFonts w:ascii="Calibri" w:cs="Calibri" w:eastAsia="Calibri" w:hAnsi="Calibri"/>
          <w:color w:val="1F2937"/>
          <w:sz w:val="21"/>
          <w:szCs w:val="21"/>
        </w:rPr>
        <w:t xml:space="preserve">Razorpay Test Mode end to end: subscribe, audit, pack, upgrade, cancel.</w:t>
      </w:r>
    </w:p>
    <w:p>
      <w:pPr>
        <w:pStyle w:val="ListParagraph"/>
        <w:numPr>
          <w:ilvl w:val="0"/>
          <w:numId w:val="2"/>
        </w:numPr>
        <w:spacing w:after="60" w:line="276"/>
      </w:pPr>
      <w:r>
        <w:rPr>
          <w:rFonts w:ascii="Calibri" w:cs="Calibri" w:eastAsia="Calibri" w:hAnsi="Calibri"/>
          <w:color w:val="1F2937"/>
          <w:sz w:val="21"/>
          <w:szCs w:val="21"/>
        </w:rPr>
        <w:t xml:space="preserve">Rotate the Neon password and the Razorpay live keys that were pasted in chat.</w:t>
      </w:r>
    </w:p>
    <w:p>
      <w:pPr>
        <w:pStyle w:val="ListParagraph"/>
        <w:numPr>
          <w:ilvl w:val="0"/>
          <w:numId w:val="2"/>
        </w:numPr>
        <w:spacing w:after="60" w:line="276"/>
      </w:pPr>
      <w:r>
        <w:rPr>
          <w:rFonts w:ascii="Calibri" w:cs="Calibri" w:eastAsia="Calibri" w:hAnsi="Calibri"/>
          <w:color w:val="1F2937"/>
          <w:sz w:val="21"/>
          <w:szCs w:val="21"/>
        </w:rPr>
        <w:t xml:space="preserve">Keep-alive ping on /api/health every 10 minutes.</w:t>
      </w:r>
    </w:p>
    <w:p>
      <w:pPr>
        <w:pStyle w:val="Heading2"/>
      </w:pPr>
      <w:bookmarkStart w:name="_Toc26" w:id="26"/>
      <w:r>
        <w:rPr>
          <w:rFonts w:ascii="Calibri" w:cs="Calibri" w:eastAsia="Calibri" w:hAnsi="Calibri"/>
        </w:rPr>
        <w:t xml:space="preserve">13.2 Reliability</w:t>
      </w:r>
      <w:bookmarkEnd w:id="26"/>
    </w:p>
    <w:p>
      <w:pPr>
        <w:pStyle w:val="ListParagraph"/>
        <w:numPr>
          <w:ilvl w:val="0"/>
          <w:numId w:val="2"/>
        </w:numPr>
        <w:spacing w:after="60" w:line="276"/>
      </w:pPr>
      <w:r>
        <w:rPr>
          <w:rFonts w:ascii="Calibri" w:cs="Calibri" w:eastAsia="Calibri" w:hAnsi="Calibri"/>
          <w:color w:val="1F2937"/>
          <w:sz w:val="21"/>
          <w:szCs w:val="21"/>
        </w:rPr>
        <w:t xml:space="preserve">Commit DNS pinning and data clean-up after a full test run; enable CI.</w:t>
      </w:r>
    </w:p>
    <w:p>
      <w:pPr>
        <w:pStyle w:val="ListParagraph"/>
        <w:numPr>
          <w:ilvl w:val="0"/>
          <w:numId w:val="2"/>
        </w:numPr>
        <w:spacing w:after="60" w:line="276"/>
      </w:pPr>
      <w:r>
        <w:rPr>
          <w:rFonts w:ascii="Calibri" w:cs="Calibri" w:eastAsia="Calibri" w:hAnsi="Calibri"/>
          <w:color w:val="1F2937"/>
          <w:sz w:val="21"/>
          <w:szCs w:val="21"/>
        </w:rPr>
        <w:t xml:space="preserve">Error monitoring (Sentry) and transactional email (password reset, receipts, failed renewals).</w:t>
      </w:r>
    </w:p>
    <w:p>
      <w:pPr>
        <w:pStyle w:val="Heading2"/>
      </w:pPr>
      <w:bookmarkStart w:name="_Toc27" w:id="27"/>
      <w:r>
        <w:rPr>
          <w:rFonts w:ascii="Calibri" w:cs="Calibri" w:eastAsia="Calibri" w:hAnsi="Calibri"/>
        </w:rPr>
        <w:t xml:space="preserve">13.3 Product and growth</w:t>
      </w:r>
      <w:bookmarkEnd w:id="27"/>
    </w:p>
    <w:p>
      <w:pPr>
        <w:pStyle w:val="ListParagraph"/>
        <w:numPr>
          <w:ilvl w:val="0"/>
          <w:numId w:val="2"/>
        </w:numPr>
        <w:spacing w:after="60" w:line="276"/>
      </w:pPr>
      <w:r>
        <w:rPr>
          <w:rFonts w:ascii="Calibri" w:cs="Calibri" w:eastAsia="Calibri" w:hAnsi="Calibri"/>
          <w:color w:val="1F2937"/>
          <w:sz w:val="21"/>
          <w:szCs w:val="21"/>
        </w:rPr>
        <w:t xml:space="preserve">End-to-end browser tests, email alerts, onboarding audit, PDF reports, marketing SEO, accessibility pass.</w:t>
      </w:r>
    </w:p>
    <w:p>
      <w:pPr>
        <w:pStyle w:val="ListParagraph"/>
        <w:numPr>
          <w:ilvl w:val="0"/>
          <w:numId w:val="2"/>
        </w:numPr>
        <w:spacing w:after="60" w:line="276"/>
      </w:pPr>
      <w:r>
        <w:rPr>
          <w:rFonts w:ascii="Calibri" w:cs="Calibri" w:eastAsia="Calibri" w:hAnsi="Calibri"/>
          <w:color w:val="1F2937"/>
          <w:sz w:val="21"/>
          <w:szCs w:val="21"/>
        </w:rPr>
        <w:t xml:space="preserve">Google Search Console / GA4, competitor gap, white-label reports and AI features.</w:t>
      </w:r>
    </w:p>
    <w:p>
      <w:pPr>
        <w:pStyle w:val="Heading1"/>
        <w:pageBreakBefore/>
      </w:pPr>
      <w:bookmarkStart w:name="_Toc28" w:id="28"/>
      <w:r>
        <w:rPr>
          <w:rFonts w:ascii="Calibri" w:cs="Calibri" w:eastAsia="Calibri" w:hAnsi="Calibri"/>
        </w:rPr>
        <w:t xml:space="preserve">Appendix: diagrams</w:t>
      </w:r>
      <w:bookmarkEnd w:id="28"/>
    </w:p>
    <w:p>
      <w:pPr>
        <w:spacing w:after="120" w:line="288"/>
      </w:pPr>
      <w:r>
        <w:rPr>
          <w:rFonts w:ascii="Calibri" w:cs="Calibri" w:eastAsia="Calibri" w:hAnsi="Calibri"/>
          <w:color w:val="1F2937"/>
          <w:sz w:val="21"/>
          <w:szCs w:val="21"/>
        </w:rPr>
        <w:t xml:space="preserve">Made with the excalidraw-diagram-generator skill conventions (github/awesome-copilot); files in docs/diagrams/:</w:t>
      </w:r>
    </w:p>
    <w:p>
      <w:pPr>
        <w:pStyle w:val="ListParagraph"/>
        <w:numPr>
          <w:ilvl w:val="0"/>
          <w:numId w:val="2"/>
        </w:numPr>
        <w:spacing w:after="60" w:line="276"/>
      </w:pPr>
      <w:r>
        <w:rPr>
          <w:rFonts w:ascii="Consolas" w:cs="Consolas" w:eastAsia="Consolas" w:hAnsi="Consolas"/>
          <w:color w:val="5B21B6"/>
          <w:sz w:val="19"/>
          <w:szCs w:val="19"/>
        </w:rPr>
        <w:t xml:space="preserve">build_diagrams.py</w:t>
      </w:r>
      <w:r>
        <w:rPr>
          <w:rFonts w:ascii="Calibri" w:cs="Calibri" w:eastAsia="Calibri" w:hAnsi="Calibri"/>
          <w:color w:val="1F2937"/>
          <w:sz w:val="21"/>
          <w:szCs w:val="21"/>
        </w:rPr>
        <w:t xml:space="preserve"> writes the .excalidraw files; open them at excalidraw.com or with the Excalidraw VS Code extension.</w:t>
      </w:r>
    </w:p>
    <w:p>
      <w:pPr>
        <w:pStyle w:val="ListParagraph"/>
        <w:numPr>
          <w:ilvl w:val="0"/>
          <w:numId w:val="2"/>
        </w:numPr>
        <w:spacing w:after="60" w:line="276"/>
      </w:pPr>
      <w:r>
        <w:rPr>
          <w:rFonts w:ascii="Consolas" w:cs="Consolas" w:eastAsia="Consolas" w:hAnsi="Consolas"/>
          <w:color w:val="5B21B6"/>
          <w:sz w:val="19"/>
          <w:szCs w:val="19"/>
        </w:rPr>
        <w:t xml:space="preserve">render_png.py</w:t>
      </w:r>
      <w:r>
        <w:rPr>
          <w:rFonts w:ascii="Calibri" w:cs="Calibri" w:eastAsia="Calibri" w:hAnsi="Calibri"/>
          <w:color w:val="1F2937"/>
          <w:sz w:val="21"/>
          <w:szCs w:val="21"/>
        </w:rPr>
        <w:t xml:space="preserve"> renders them to PNG with Excalidraw's own exporter in headless Chrome.</w:t>
      </w:r>
    </w:p>
    <w:p>
      <w:pPr>
        <w:shd w:fill="F3F4F6" w:color="auto" w:val="clear"/>
        <w:spacing w:after="0" w:line="240"/>
      </w:pPr>
      <w:r>
        <w:rPr>
          <w:rFonts w:ascii="Consolas" w:cs="Consolas" w:eastAsia="Consolas" w:hAnsi="Consolas"/>
          <w:color w:val="1F2937"/>
          <w:sz w:val="17"/>
          <w:szCs w:val="17"/>
        </w:rPr>
        <w:t xml:space="preserve">backend/.venv/Scripts/python docs/diagrams/build_diagrams.py</w:t>
      </w:r>
    </w:p>
    <w:p>
      <w:pPr>
        <w:shd w:fill="F3F4F6" w:color="auto" w:val="clear"/>
        <w:spacing w:after="0" w:line="240"/>
      </w:pPr>
      <w:r>
        <w:rPr>
          <w:rFonts w:ascii="Consolas" w:cs="Consolas" w:eastAsia="Consolas" w:hAnsi="Consolas"/>
          <w:color w:val="1F2937"/>
          <w:sz w:val="17"/>
          <w:szCs w:val="17"/>
        </w:rPr>
        <w:t xml:space="preserve">backend/.venv/Scripts/python docs/diagrams/render_png.py</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6"/>
        <w:szCs w:val="16"/>
      </w:rPr>
      <w:t xml:space="preserve">Page </w:t>
    </w:r>
    <w:r>
      <w:rPr>
        <w:rFonts w:ascii="Calibri" w:cs="Calibri" w:eastAsia="Calibri" w:hAnsi="Calibri"/>
        <w:color w:val="4B5563"/>
        <w:sz w:val="16"/>
        <w:szCs w:val="16"/>
      </w:rPr>
      <w:fldChar w:fldCharType="begin"/>
    </w:r>
    <w:r>
      <w:rPr>
        <w:rFonts w:ascii="Calibri" w:cs="Calibri" w:eastAsia="Calibri" w:hAnsi="Calibri"/>
        <w:color w:val="4B5563"/>
        <w:sz w:val="16"/>
        <w:szCs w:val="16"/>
      </w:rPr>
      <w:instrText xml:space="preserve">PAGE</w:instrText>
    </w:r>
    <w:r>
      <w:rPr>
        <w:rFonts w:ascii="Calibri" w:cs="Calibri" w:eastAsia="Calibri" w:hAnsi="Calibri"/>
        <w:color w:val="4B5563"/>
        <w:sz w:val="16"/>
        <w:szCs w:val="16"/>
      </w:rPr>
      <w:fldChar w:fldCharType="separate"/>
    </w:r>
    <w:r>
      <w:rPr>
        <w:rFonts w:ascii="Calibri" w:cs="Calibri" w:eastAsia="Calibri" w:hAnsi="Calibri"/>
        <w:color w:val="4B556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B5563"/>
        <w:sz w:val="16"/>
        <w:szCs w:val="16"/>
      </w:rPr>
      <w:t xml:space="preserve">Rankwise · engineering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6D28D9"/>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3B0764"/>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0ed5842bc0c8f64b4bb270adc515e4ce3055403.png"/><Relationship Id="rId10" Type="http://schemas.openxmlformats.org/officeDocument/2006/relationships/image" Target="media/2ab560a3f295a093a3581f459f186b9618f7dd67.png"/><Relationship Id="rId11" Type="http://schemas.openxmlformats.org/officeDocument/2006/relationships/image" Target="media/882b368ab64183ad963449dc62bc405bfd899cc2.png"/><Relationship Id="rId12" Type="http://schemas.openxmlformats.org/officeDocument/2006/relationships/image" Target="media/42d83a83e9306baf758520f52cbea5b1e2ddcbba.png"/><Relationship Id="rId13" Type="http://schemas.openxmlformats.org/officeDocument/2006/relationships/image" Target="media/bf156fa2383133a124b2c19dbe7bb9476b2564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Rankwise engineering overview</dc:title>
  <dc:creator>Rankwise</dc:creator>
  <cp:lastModifiedBy>Un-named</cp:lastModifiedBy>
  <cp:revision>1</cp:revision>
  <dcterms:created xsi:type="dcterms:W3CDTF">2026-10-19T23:51:50.109Z</dcterms:created>
  <dcterms:modified xsi:type="dcterms:W3CDTF">2026-10-19T23:51:50.114Z</dcterms:modified>
</cp:coreProperties>
</file>

<file path=docProps/custom.xml><?xml version="1.0" encoding="utf-8"?>
<Properties xmlns="http://schemas.openxmlformats.org/officeDocument/2006/custom-properties" xmlns:vt="http://schemas.openxmlformats.org/officeDocument/2006/docPropsVTypes"/>
</file>