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2"/>
    <w:p>
      <w:pPr>
        <w:pStyle w:val="Heading1"/>
      </w:pPr>
      <w:r>
        <w:t xml:space="preserve">Response to Reviewer 2</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published theory and its boundary / assumptions / heuristic constructions / memory references / scope limitations, with a provenance table (Table 1) stating per quantity what the cited literature supports, what is introduced here, and what is</w:t>
      </w:r>
      <w:r>
        <w:t xml:space="preserve"> </w:t>
      </w:r>
      <w:r>
        <w:rPr>
          <w:i/>
          <w:iCs/>
        </w:rPr>
        <w:t xml:space="preserve">not</w:t>
      </w:r>
      <w:r>
        <w:t xml:space="preserve"> </w:t>
      </w:r>
      <w:r>
        <w:t xml:space="preserve">theoretically guaranteed — including the explicit statement that the published quantum-streaming results are problem-specific and do not establish the operational τ, r, T_eff or accuracy model used here, so the τ-penalised landscape is a classical effective-sample-size stress test used for diagnosis and hypothesis generation.</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w:t>
      </w:r>
      <w:r>
        <w:t xml:space="preserve">: the reference list was audited entry by entry and verified against publisher metadata; every DOI was resolved and machine-compared against the cited title, first author, venue and year. Three outcomes followed. (i) In accordance with the Academic Editor’s request that preprints not be cited, the Zhao et al. (2026) preprint (arXiv:2604.07639) was removed from the manuscript and the reference list; no other published work was substituted for it, because none establishes the framework-specific results it had been cited for, and the affected statements were instead revised so that each remaining reference is used only for what it actually supports. (ii) Kallaugher, Parekh and Voronova is cited in its published form (SOSA 2025, pp. 9–45, DOI 10.1137/1.9781611978315.2), and the published STOC 2024 result (DOI 10.1145/3618260.3649709) is cited for the exponential quantum–classical space separation, which also corrects a Related Work sentence that would otherwise have credited the 2021 FOCS paper with an exponential separation (the advantage established there is polynomial). (iii) A transposed article number in the Su, Guo and Wang (2024) entry was corrected (</w:t>
      </w:r>
      <w:r>
        <w:rPr>
          <w:i/>
          <w:iCs/>
        </w:rPr>
        <w:t xml:space="preserve">Information Sciences</w:t>
      </w:r>
      <w:r>
        <w:t xml:space="preserve"> </w:t>
      </w:r>
      <w:r>
        <w:rPr>
          <w:b/>
          <w:bCs/>
        </w:rPr>
        <w:t xml:space="preserve">676</w:t>
      </w:r>
      <w:r>
        <w:t xml:space="preserve">, article 120799, DOI 10.1016/j.ins.2024.120799). The final bibliography contains 54 references, and every in-text citation was re-checked against it.</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point-by-point-response"/>
    <w:p>
      <w:pPr>
        <w:pStyle w:val="Heading2"/>
      </w:pPr>
      <w:r>
        <w:t xml:space="preserve">Point-by-point response</w:t>
      </w:r>
    </w:p>
    <w:p>
      <w:pPr>
        <w:pStyle w:val="FirstParagraph"/>
      </w:pPr>
      <w:r>
        <w:t xml:space="preserve">We thank the reviewer for an unusually thorough review; the closing recommendation — make the (τ, r) landscape-as-hypothesis-generator the paper’s main message — is precisely the repositioning this revision performs.</w:t>
      </w:r>
    </w:p>
    <w:p>
      <w:pPr>
        <w:pStyle w:val="BodyText"/>
      </w:pPr>
      <w:r>
        <w:rPr>
          <w:b/>
          <w:bCs/>
        </w:rPr>
        <w:t xml:space="preserve">R2.1 —</w:t>
      </w:r>
      <w:r>
        <w:rPr>
          <w:b/>
          <w:bCs/>
        </w:rPr>
        <w:t xml:space="preserve"> </w:t>
      </w:r>
      <w:r>
        <w:rPr>
          <w:b/>
          <w:b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i/>
          <w:iCs/>
        </w:rPr>
        <w:t xml:space="preserve">Response.</w:t>
      </w:r>
      <w:r>
        <w:t xml:space="preserve"> </w:t>
      </w:r>
      <w:r>
        <w:t xml:space="preserve">New §3.3 does this separation explicitly, and states the boundary rather than assuming an equivalence. It has five labelled parts:</w:t>
      </w:r>
      <w:r>
        <w:t xml:space="preserve"> </w:t>
      </w:r>
      <w:r>
        <w:rPr>
          <w:i/>
          <w:iCs/>
        </w:rPr>
        <w:t xml:space="preserve">Published theory and boundary</w:t>
      </w:r>
      <w:r>
        <w:t xml:space="preserve"> </w:t>
      </w:r>
      <w:r>
        <w:t xml:space="preserve">— the peer-reviewed quantum-streaming results that motivate the study (polynomial quantum space advantage for one-pass triangle counting; exponential quantum space advantage for approximating maximum directed cut; a black-box route from certain classical sketches to quantum streaming algorithms), with the explicit statement that these are problem-specific and do</w:t>
      </w:r>
      <w:r>
        <w:t xml:space="preserve"> </w:t>
      </w:r>
      <w:r>
        <w:rPr>
          <w:b/>
          <w:bCs/>
        </w:rPr>
        <w:t xml:space="preserve">not</w:t>
      </w:r>
      <w:r>
        <w:t xml:space="preserve"> </w:t>
      </w:r>
      <w:r>
        <w:t xml:space="preserve">establish the operational τ, r, T_eff or accuracy model used here, and that this paper adds no quantum theorem;</w:t>
      </w:r>
      <w:r>
        <w:t xml:space="preserve"> </w:t>
      </w:r>
      <w:r>
        <w:rPr>
          <w:i/>
          <w:iCs/>
        </w:rPr>
        <w:t xml:space="preserve">Assumptions</w:t>
      </w:r>
      <w:r>
        <w:t xml:space="preserve"> </w:t>
      </w:r>
      <w:r>
        <w:t xml:space="preserve">(two-scalar summarisability, binarised-stream fidelity, task-rate-as-pipeline stand-in — all modelling choices of this paper);</w:t>
      </w:r>
      <w:r>
        <w:t xml:space="preserve"> </w:t>
      </w:r>
      <w:r>
        <w:rPr>
          <w:i/>
          <w:iCs/>
        </w:rPr>
        <w:t xml:space="preserve">Heuristic constructions introduced in this paper</w:t>
      </w:r>
      <w:r>
        <w:t xml:space="preserve"> </w:t>
      </w:r>
      <w:r>
        <w:t xml:space="preserve">(the T_eff division by τ and r, following the classical effective-sample-size correction long standard in Markov-chain output analysis, and the VC-type task rate — neither a published quantum guarantee);</w:t>
      </w:r>
      <w:r>
        <w:t xml:space="preserve"> </w:t>
      </w:r>
      <w:r>
        <w:rPr>
          <w:i/>
          <w:iCs/>
        </w:rPr>
        <w:t xml:space="preserve">Memory references</w:t>
      </w:r>
      <w:r>
        <w:t xml:space="preserve">, retained solely as paper-defined illustrative scaling curves; and</w:t>
      </w:r>
      <w:r>
        <w:t xml:space="preserve"> </w:t>
      </w:r>
      <w:r>
        <w:rPr>
          <w:i/>
          <w:iCs/>
        </w:rPr>
        <w:t xml:space="preserve">Scope limitations</w:t>
      </w:r>
      <w:r>
        <w:t xml:space="preserve">, which states that τ and r are measurement conventions, not formally equivalent to a universal mixing time, effective-sample count or quantum sample-overhead parameter. Table 1 gives per-quantity provenance with an explicit</w:t>
      </w:r>
      <w:r>
        <w:t xml:space="preserve"> </w:t>
      </w:r>
      <w:r>
        <w:t xml:space="preserve">“not guaranteed”</w:t>
      </w:r>
      <w:r>
        <w:t xml:space="preserve"> </w:t>
      </w:r>
      <w:r>
        <w:t xml:space="preserve">column. Directly on the reviewer’s question: τ and r are operational summaries defined in this paper for the proxy-based diagnostic; the manuscript neither implements the quantum oracle-sketching framework nor claims to prove or reproduce any quantum result, and the τ-penalised landscape is presented as a classical effective-sample-size stress test used for diagnosis and hypothesis generation.</w:t>
      </w:r>
      <w:r>
        <w:t xml:space="preserve"> </w:t>
      </w:r>
      <w:r>
        <w:rPr>
          <w:i/>
          <w:iCs/>
        </w:rPr>
        <w:t xml:space="preserve">Changes:</w:t>
      </w:r>
      <w:r>
        <w:t xml:space="preserve"> </w:t>
      </w:r>
      <w:r>
        <w:t xml:space="preserve">New §3.3 + Table 1; §3.2; effective-sample-size lineage now cited (Geyer 1992).</w:t>
      </w:r>
    </w:p>
    <w:p>
      <w:pPr>
        <w:pStyle w:val="BodyText"/>
      </w:pPr>
      <w:r>
        <w:rPr>
          <w:b/>
          <w:bCs/>
        </w:rPr>
        <w:t xml:space="preserve">R2.2 —</w:t>
      </w:r>
      <w:r>
        <w:rPr>
          <w:b/>
          <w:bCs/>
        </w:rPr>
        <w:t xml:space="preserve"> </w:t>
      </w:r>
      <w:r>
        <w:rPr>
          <w:b/>
          <w:b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i/>
          <w:iCs/>
        </w:rPr>
        <w:t xml:space="preserve">Response.</w:t>
      </w:r>
      <w:r>
        <w:t xml:space="preserve"> </w:t>
      </w:r>
      <w:r>
        <w:t xml:space="preserve">A systematic terminology pass was made over exactly those surfaces.</w:t>
      </w:r>
      <w:r>
        <w:t xml:space="preserve"> </w:t>
      </w:r>
      <w:r>
        <w:t xml:space="preserve">“Quantum-favourable”</w:t>
      </w:r>
      <w:r>
        <w:t xml:space="preserve"> </w:t>
      </w:r>
      <w:r>
        <w:t xml:space="preserve">no longer appears (now</w:t>
      </w:r>
      <w:r>
        <w:t xml:space="preserve"> </w:t>
      </w:r>
      <w:r>
        <w:t xml:space="preserve">“proxy-favourable”</w:t>
      </w:r>
      <w:r>
        <w:t xml:space="preserve">/</w:t>
      </w:r>
      <w:r>
        <w:t xml:space="preserve">“hypothesized favourable”</w:t>
      </w:r>
      <w:r>
        <w:t xml:space="preserve">);</w:t>
      </w:r>
      <w:r>
        <w:t xml:space="preserve"> </w:t>
      </w:r>
      <w:r>
        <w:t xml:space="preserve">“quantum performance proxy crosses below classical performance”</w:t>
      </w:r>
      <w:r>
        <w:t xml:space="preserve"> </w:t>
      </w:r>
      <w:r>
        <w:t xml:space="preserve">and similar constructions were rewritten (</w:t>
      </w:r>
      <w:r>
        <w:t xml:space="preserve">“the accuracy proxy computed with the analytic τ lies below the measured classical baseline”</w:t>
      </w:r>
      <w:r>
        <w:t xml:space="preserve">); Table 6’s column is</w:t>
      </w:r>
      <w:r>
        <w:t xml:space="preserve"> </w:t>
      </w:r>
      <w:r>
        <w:t xml:space="preserve">“Proxy hypothesis”</w:t>
      </w:r>
      <w:r>
        <w:t xml:space="preserve">; and — because captions alone cannot fix text baked into images — Figures 1, 2, and 6 were regenerated to remove the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Explicit</w:t>
      </w:r>
      <w:r>
        <w:t xml:space="preserve"> </w:t>
      </w:r>
      <w:r>
        <w:t xml:space="preserve">“no quantum algorithm is implemented”</w:t>
      </w:r>
      <w:r>
        <w:t xml:space="preserve"> </w:t>
      </w:r>
      <w:r>
        <w:t xml:space="preserve">statements now appear in the Abstract, §3.3, §6.5, §6.6, §6.8, §7.4, §8, and the Conclusion.</w:t>
      </w:r>
      <w:r>
        <w:t xml:space="preserve"> </w:t>
      </w:r>
      <w:r>
        <w:rPr>
          <w:i/>
          <w:iCs/>
        </w:rPr>
        <w:t xml:space="preserve">Changes:</w:t>
      </w:r>
      <w:r>
        <w:t xml:space="preserve"> </w:t>
      </w:r>
      <w:r>
        <w:t xml:space="preserve">Global; Figures 1, 2, 6 regenerated; all captions audited.</w:t>
      </w:r>
    </w:p>
    <w:p>
      <w:pPr>
        <w:pStyle w:val="BodyText"/>
      </w:pPr>
      <w:r>
        <w:rPr>
          <w:b/>
          <w:bCs/>
        </w:rPr>
        <w:t xml:space="preserve">R2.3 —</w:t>
      </w:r>
      <w:r>
        <w:rPr>
          <w:b/>
          <w:bCs/>
        </w:rPr>
        <w:t xml:space="preserve"> </w:t>
      </w:r>
      <w:r>
        <w:rPr>
          <w:b/>
          <w:b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i/>
          <w:iCs/>
        </w:rPr>
        <w:t xml:space="preserve">Response.</w:t>
      </w:r>
      <w:r>
        <w:t xml:space="preserve"> </w:t>
      </w:r>
      <w:r>
        <w:t xml:space="preserve">Adopted in full — magnitude and uncertainty now lead, and the tests are re-scoped to the one thing they can support. Table 4 reports, per sweep point, the Hodges–Lehmann estimate of the paired difference with its exact signed-rank 95% interval (e.g., +0.042 [+0.011, +0.087] at ρ = 0; −0.046 [−0.079, −0.003] at ρ = 0.88) and the rank-biserial correlation, which we interpret explicitly as sign-concordance across seeds (scale-free against a near-constant reference; all magnitude information lives in the difference estimate). The p-values are descriptive companions only; we disclose that none survives Holm correction at n = 10 and why; we disclose the integer-τ lattice sensitivity (one lag step = 0.012, enough to move the ρ = 0.48 interval across zero); and the interpretation paragraph states that the crossover is the deterministic solution of acc_proxy(τ̂(ρ)) = mean classical accuracy, with uncertainty inherited from the estimator and the constants (C, δ), not from the tests. The full re-analysis (which first reproduced the published per-seed results bit-exactly — all five p-values to six digits) ships with the revision.</w:t>
      </w:r>
      <w:r>
        <w:t xml:space="preserve"> </w:t>
      </w:r>
      <w:r>
        <w:rPr>
          <w:i/>
          <w:iCs/>
        </w:rPr>
        <w:t xml:space="preserve">Changes:</w:t>
      </w:r>
      <w:r>
        <w:t xml:space="preserve"> </w:t>
      </w:r>
      <w:r>
        <w:t xml:space="preserve">Table 4 + caption; §6.5 (rewritten body and interpretation paragraphs); Abstract; §7.1; §8;</w:t>
      </w:r>
      <w:r>
        <w:t xml:space="preserve"> </w:t>
      </w:r>
      <w:r>
        <w:rPr>
          <w:rStyle w:val="VerbatimChar"/>
        </w:rPr>
        <w:t xml:space="preserve">verification_scripts/exp5_reanalysis.py</w:t>
      </w:r>
      <w:r>
        <w:t xml:space="preserve"> </w:t>
      </w:r>
      <w:r>
        <w:t xml:space="preserve">+ output.</w:t>
      </w:r>
    </w:p>
    <w:p>
      <w:pPr>
        <w:pStyle w:val="BodyText"/>
      </w:pPr>
      <w:r>
        <w:rPr>
          <w:b/>
          <w:bCs/>
        </w:rPr>
        <w:t xml:space="preserve">R2.4 —</w:t>
      </w:r>
      <w:r>
        <w:rPr>
          <w:b/>
          <w:bCs/>
        </w:rPr>
        <w:t xml:space="preserve"> </w:t>
      </w:r>
      <w:r>
        <w:rPr>
          <w:b/>
          <w:b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i/>
          <w:iCs/>
        </w:rPr>
        <w:t xml:space="preserve">Response.</w:t>
      </w:r>
      <w:r>
        <w:t xml:space="preserve"> </w:t>
      </w:r>
      <w:r>
        <w:t xml:space="preserve">We agree it is one of the paper’s most important findings and have promoted it accordingly. New §7.3 gives the mechanism (the analytic proxies target model-level worst-case scales — joint-chain mixing; tail-dominated integrated autocorrelation — while the empirical estimator measures the short-lag marginal decorrelation of the binarised stream; for a non-mixing process there is no scalar the two could agree on), and the implications for the landscape are now carried through the whole paper: verdicts are bound to their estimator convention everywhere, and we state openly that the burst and long-memory extremes</w:t>
      </w:r>
      <w:r>
        <w:t xml:space="preserve"> </w:t>
      </w:r>
      <w:r>
        <w:rPr>
          <w:i/>
          <w:iCs/>
        </w:rPr>
        <w:t xml:space="preserve">exchange places</w:t>
      </w:r>
      <w:r>
        <w:t xml:space="preserve"> </w:t>
      </w:r>
      <w:r>
        <w:t xml:space="preserve">between the analytic and empirical conventions (burst saturates through its measured duplication; long-memory’s high empirical value is the short-lag artefact) — in Experiment 9, §7.3, the RQ2/RQ3 answers, and the Figure 3/7 captions. The abstract now says the two estimates</w:t>
      </w:r>
      <w:r>
        <w:t xml:space="preserve"> </w:t>
      </w:r>
      <w:r>
        <w:t xml:space="preserve">“diverge”</w:t>
      </w:r>
      <w:r>
        <w:t xml:space="preserve"> </w:t>
      </w:r>
      <w:r>
        <w:t xml:space="preserve">(not</w:t>
      </w:r>
      <w:r>
        <w:t xml:space="preserve"> </w:t>
      </w:r>
      <w:r>
        <w:t xml:space="preserve">“overestimate”</w:t>
      </w:r>
      <w:r>
        <w:t xml:space="preserve">, which presupposed the empirical value as ground truth) and adds that they answer different questions.</w:t>
      </w:r>
      <w:r>
        <w:t xml:space="preserve"> </w:t>
      </w:r>
      <w:r>
        <w:rPr>
          <w:i/>
          <w:iCs/>
        </w:rPr>
        <w:t xml:space="preserve">Changes:</w:t>
      </w:r>
      <w:r>
        <w:t xml:space="preserve"> </w:t>
      </w:r>
      <w:r>
        <w:t xml:space="preserve">New §7.3; §6.9; §6.3; Figures 3, 7 captions; Conclusion RQ1–RQ3; Abstract.</w:t>
      </w:r>
    </w:p>
    <w:p>
      <w:pPr>
        <w:pStyle w:val="BodyText"/>
      </w:pPr>
      <w:r>
        <w:rPr>
          <w:b/>
          <w:bCs/>
        </w:rPr>
        <w:t xml:space="preserve">R2.5 —</w:t>
      </w:r>
      <w:r>
        <w:rPr>
          <w:b/>
          <w:bCs/>
        </w:rPr>
        <w:t xml:space="preserve"> </w:t>
      </w:r>
      <w:r>
        <w:rPr>
          <w:b/>
          <w:b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i/>
          <w:iCs/>
        </w:rPr>
        <w:t xml:space="preserve">Response.</w:t>
      </w:r>
      <w:r>
        <w:t xml:space="preserve"> </w:t>
      </w:r>
      <w:r>
        <w:t xml:space="preserve">Made prominent exactly there, and the curves are no longer presented as cited bounds at all. Experiment 6 now opens with:</w:t>
      </w:r>
      <w:r>
        <w:t xml:space="preserve"> </w:t>
      </w:r>
      <w:r>
        <w:t xml:space="preserve">“No memory lower bound is measured empirically in this experiment: the curves in panel (a) are illustrative quantities, and no result here constitutes an empirical memory floor for online SGD, averaged SGD, or Count-Min.”</w:t>
      </w:r>
      <w:r>
        <w:t xml:space="preserve"> </w:t>
      </w:r>
      <w:r>
        <w:t xml:space="preserve">Figure 6’s caption labels panel (a)</w:t>
      </w:r>
      <w:r>
        <w:t xml:space="preserve"> </w:t>
      </w:r>
      <w:r>
        <w:t xml:space="preserve">“illustrative memory-scaling reference (paper-defined; no measured content)”</w:t>
      </w:r>
      <w:r>
        <w:t xml:space="preserve"> </w:t>
      </w:r>
      <w:r>
        <w:t xml:space="preserve">and states that their exponential divergence is a visual scaling contrast, not an established separation. §3.3’s</w:t>
      </w:r>
      <w:r>
        <w:t xml:space="preserve"> </w:t>
      </w:r>
      <w:r>
        <w:t xml:space="preserve">“Memory references”</w:t>
      </w:r>
      <w:r>
        <w:t xml:space="preserve"> </w:t>
      </w:r>
      <w:r>
        <w:t xml:space="preserve">paragraph records that the published quantum-streaming papers do not establish the O(n)/Ω(√N) pair for this diagnostic task and that the pair is retained solely as a paper-defined illustrative scaling reference; the provenance table carries the same status, and §7.1 states that none of its structural factors is a measured quantum result.</w:t>
      </w:r>
      <w:r>
        <w:t xml:space="preserve"> </w:t>
      </w:r>
      <w:r>
        <w:rPr>
          <w:i/>
          <w:iCs/>
        </w:rPr>
        <w:t xml:space="preserve">Changes:</w:t>
      </w:r>
      <w:r>
        <w:t xml:space="preserve"> </w:t>
      </w:r>
      <w:r>
        <w:t xml:space="preserve">§6.6; Figure 6 (caption and regenerated labels); §3.3; Table 1; §7.1.</w:t>
      </w:r>
    </w:p>
    <w:p>
      <w:pPr>
        <w:pStyle w:val="BodyText"/>
      </w:pPr>
      <w:r>
        <w:rPr>
          <w:b/>
          <w:bCs/>
        </w:rPr>
        <w:t xml:space="preserve">R2.6 —</w:t>
      </w:r>
      <w:r>
        <w:rPr>
          <w:b/>
          <w:bCs/>
        </w:rPr>
        <w:t xml:space="preserve"> </w:t>
      </w:r>
      <w:r>
        <w:rPr>
          <w:b/>
          <w:bCs/>
        </w:rPr>
        <w:t xml:space="preserve">“The real-stream analysis is useful as a sanity check but it is limited to two NAB datasets. The conclusions on the sensor and telemetry applications should therefore be conservative.”</w:t>
      </w:r>
    </w:p>
    <w:p>
      <w:pPr>
        <w:pStyle w:val="BodyText"/>
      </w:pPr>
      <w:r>
        <w:rPr>
          <w:i/>
          <w:iCs/>
        </w:rPr>
        <w:t xml:space="preserve">Response.</w:t>
      </w:r>
      <w:r>
        <w:t xml:space="preserve"> </w:t>
      </w:r>
      <w:r>
        <w:t xml:space="preserve">The conclusions are now explicitly conservative: §6.8 states the experiment</w:t>
      </w:r>
      <w:r>
        <w:t xml:space="preserve"> </w:t>
      </w:r>
      <w:r>
        <w:t xml:space="preserve">“is illustrative rather than statistically representative”</w:t>
      </w:r>
      <w:r>
        <w:t xml:space="preserve">, the External-validity paragraph records that generalisation is unverified, and the abstract claims placement only. Additionally, a new encoder/resolution sensitivity table strengthens what</w:t>
      </w:r>
      <w:r>
        <w:t xml:space="preserve"> </w:t>
      </w:r>
      <w:r>
        <w:rPr>
          <w:i/>
          <w:iCs/>
        </w:rPr>
        <w:t xml:space="preserve">can</w:t>
      </w:r>
      <w:r>
        <w:t xml:space="preserve"> </w:t>
      </w:r>
      <w:r>
        <w:t xml:space="preserve">be said from two streams: across ten re-encodings of the same raw series (three sampling resolutions × three bucket widths), the NYC-above-Machine-Temperature ordering holds in every configuration, so the reported placement is at least encoder-stable. Broader corpora are committed in Future Work with a concrete test protocol (H1).</w:t>
      </w:r>
      <w:r>
        <w:t xml:space="preserve"> </w:t>
      </w:r>
      <w:r>
        <w:rPr>
          <w:i/>
          <w:iCs/>
        </w:rPr>
        <w:t xml:space="preserve">Changes:</w:t>
      </w:r>
      <w:r>
        <w:t xml:space="preserve"> </w:t>
      </w:r>
      <w:r>
        <w:t xml:space="preserve">§6.8; new encoder-sensitivity paragraph + table; §8; §9; §7.4 H1.</w:t>
      </w:r>
    </w:p>
    <w:p>
      <w:pPr>
        <w:pStyle w:val="BodyText"/>
      </w:pPr>
      <w:r>
        <w:rPr>
          <w:b/>
          <w:bCs/>
        </w:rPr>
        <w:t xml:space="preserve">R2.7 —</w:t>
      </w:r>
      <w:r>
        <w:rPr>
          <w:b/>
          <w:bCs/>
        </w:rPr>
        <w:t xml:space="preserve"> </w:t>
      </w:r>
      <w:r>
        <w:rPr>
          <w:b/>
          <w:b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i/>
          <w:iCs/>
        </w:rPr>
        <w:t xml:space="preserve">Response.</w:t>
      </w:r>
      <w:r>
        <w:t xml:space="preserve"> </w:t>
      </w:r>
      <w:r>
        <w:t xml:space="preserve">This is an excellent catch, and we now disclose it explicitly rather than leave it implicit. §6.8 (</w:t>
      </w:r>
      <w:r>
        <w:t xml:space="preserve">“Binarisation choice”</w:t>
      </w:r>
      <w:r>
        <w:t xml:space="preserve">) states that the threshold is computed from the full series and therefore uses information not available prequentially at each step; that the feature stream and the (τ, r) estimates involve no such look-ahead — so the landscape placement, the paper’s central output for these streams, is unaffected, the leakage touching only the classical-baseline reference numbers; and that a threshold calibrated on an initial interval, or updated from previously observed samples only, is the rigorous prequential design, which we adopt as future work. The Threats section (Internal validity, item (v)) records it as a residual risk. We chose disclosure over re-running the baselines in this revision to keep every published number bit-reproducible; we are happy to re-run with a calibration-interval threshold in a further round if the reviewer prefers.</w:t>
      </w:r>
      <w:r>
        <w:t xml:space="preserve"> </w:t>
      </w:r>
      <w:r>
        <w:rPr>
          <w:i/>
          <w:iCs/>
        </w:rPr>
        <w:t xml:space="preserve">Changes:</w:t>
      </w:r>
      <w:r>
        <w:t xml:space="preserve"> </w:t>
      </w:r>
      <w:r>
        <w:t xml:space="preserve">§6.8 Binarisation paragraph; §8 Internal validity (v); §9.</w:t>
      </w:r>
    </w:p>
    <w:p>
      <w:pPr>
        <w:pStyle w:val="BodyText"/>
      </w:pPr>
      <w:r>
        <w:rPr>
          <w:b/>
          <w:bCs/>
        </w:rPr>
        <w:t xml:space="preserve">R2.8 —</w:t>
      </w:r>
      <w:r>
        <w:rPr>
          <w:b/>
          <w:bCs/>
        </w:rPr>
        <w:t xml:space="preserve"> </w:t>
      </w:r>
      <w:r>
        <w:rPr>
          <w:b/>
          <w:b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i/>
          <w:iCs/>
        </w:rPr>
        <w:t xml:space="preserve">Response.</w:t>
      </w:r>
      <w:r>
        <w:t xml:space="preserve"> </w:t>
      </w:r>
      <w:r>
        <w:t xml:space="preserve">The qualification now carries real weight in three places. The dedicated</w:t>
      </w:r>
      <w:r>
        <w:t xml:space="preserve"> </w:t>
      </w:r>
      <w:r>
        <w:t xml:space="preserve">“Why Count-Min looks strong”</w:t>
      </w:r>
      <w:r>
        <w:t xml:space="preserve"> </w:t>
      </w:r>
      <w:r>
        <w:t xml:space="preserve">paragraph is retained; the interpretation adds, plainly:</w:t>
      </w:r>
      <w:r>
        <w:t xml:space="preserve"> </w:t>
      </w:r>
      <w:r>
        <w:t xml:space="preserve">“the favourable-side separation between the two streams rests on Count-Min alone; the hashed-linear learners do not corroborate it”</w:t>
      </w:r>
      <w:r>
        <w:t xml:space="preserve"> </w:t>
      </w:r>
      <w:r>
        <w:t xml:space="preserve">— and we additionally report that both SGD variants fall</w:t>
      </w:r>
      <w:r>
        <w:t xml:space="preserve"> </w:t>
      </w:r>
      <w:r>
        <w:rPr>
          <w:i/>
          <w:iCs/>
        </w:rPr>
        <w:t xml:space="preserve">below</w:t>
      </w:r>
      <w:r>
        <w:t xml:space="preserve"> </w:t>
      </w:r>
      <w:r>
        <w:t xml:space="preserve">the majority baseline on accuracy and that Averaged-SGD’s balanced accuracy straddles chance, so the apparent proxy–Count-Min agreement is explicitly not read as validation. §7.4 lists representation-specific effects like this memorisation route among the things the landscape</w:t>
      </w:r>
      <w:r>
        <w:t xml:space="preserve"> </w:t>
      </w:r>
      <w:r>
        <w:rPr>
          <w:i/>
          <w:iCs/>
        </w:rPr>
        <w:t xml:space="preserve">cannot</w:t>
      </w:r>
      <w:r>
        <w:t xml:space="preserve"> </w:t>
      </w:r>
      <w:r>
        <w:t xml:space="preserve">anticipate, and — going further in the reviewer’s direction — the same section now concedes that, read strictly as an accuracy projection, the proxy is falsified on Machine Temperature (0.500 predicted vs 0.72–0.80 observed), with the rare-class diagnostic reading offered as interpretation, not confirmation. Table 6 now carries the ordering-to-ordering intervals (Count-Min F1 = 0.644 ± 0.062, per-ordering range 0.43–0.72), which tempers the headline number.</w:t>
      </w:r>
      <w:r>
        <w:t xml:space="preserve"> </w:t>
      </w:r>
      <w:r>
        <w:rPr>
          <w:i/>
          <w:iCs/>
        </w:rPr>
        <w:t xml:space="preserve">Changes:</w:t>
      </w:r>
      <w:r>
        <w:t xml:space="preserve"> </w:t>
      </w:r>
      <w:r>
        <w:t xml:space="preserve">§6.8 (findings bullets, Count-Min paragraph, interpretation (ii)–(iii)); Table 6 (intervals restored); §7.4.</w:t>
      </w:r>
    </w:p>
    <w:p>
      <w:pPr>
        <w:pStyle w:val="BodyText"/>
      </w:pPr>
      <w:r>
        <w:rPr>
          <w:b/>
          <w:bCs/>
        </w:rPr>
        <w:t xml:space="preserve">R2.9 —</w:t>
      </w:r>
      <w:r>
        <w:rPr>
          <w:b/>
          <w:bCs/>
        </w:rPr>
        <w:t xml:space="preserve"> </w:t>
      </w:r>
      <w:r>
        <w:rPr>
          <w:b/>
          <w:b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i/>
          <w:iCs/>
        </w:rPr>
        <w:t xml:space="preserve">Response.</w:t>
      </w:r>
      <w:r>
        <w:t xml:space="preserve"> </w:t>
      </w:r>
      <w:r>
        <w:t xml:space="preserve">Highlighted and stated as a scope boundary in the reviewer’s own terms. §6.9 (Target function) now reads:</w:t>
      </w:r>
      <w:r>
        <w:t xml:space="preserve"> </w:t>
      </w:r>
      <w:r>
        <w:t xml:space="preserve">“classical learner performance is strongly target-dependent, while the proxy depends only on (τ, r, T) and is target-independent by construction. The proxy therefore cannot universally predict downstream classifier performance; it characterises the correlation structure of the stream — the effective sample budget available to any bounded-memory learner — not task-specific learnability.”</w:t>
      </w:r>
      <w:r>
        <w:t xml:space="preserve"> </w:t>
      </w:r>
      <w:r>
        <w:t xml:space="preserve">§7.4 elevates this to the</w:t>
      </w:r>
      <w:r>
        <w:t xml:space="preserve"> </w:t>
      </w:r>
      <w:r>
        <w:t xml:space="preserve">“cannot”</w:t>
      </w:r>
      <w:r>
        <w:t xml:space="preserve"> </w:t>
      </w:r>
      <w:r>
        <w:t xml:space="preserve">list (with the further empirical point that measured classical accuracy is flat while T_eff falls fivefold, so the budget model does not predict even the classical arm’s accuracy), the Figure 9 caption states the proxy</w:t>
      </w:r>
      <w:r>
        <w:t xml:space="preserve"> </w:t>
      </w:r>
      <w:r>
        <w:t xml:space="preserve">“does not track task-specific learnability”</w:t>
      </w:r>
      <w:r>
        <w:t xml:space="preserve">, and RQ2’s answer now says τ and r are budget summaries, not accuracy predictors. The ablation’s protocol (prequential, lr = 0.01, T = 4096) is also now stated so its absolute levels are not misread against the main experiments.</w:t>
      </w:r>
      <w:r>
        <w:t xml:space="preserve"> </w:t>
      </w:r>
      <w:r>
        <w:rPr>
          <w:i/>
          <w:iCs/>
        </w:rPr>
        <w:t xml:space="preserve">Changes:</w:t>
      </w:r>
      <w:r>
        <w:t xml:space="preserve"> </w:t>
      </w:r>
      <w:r>
        <w:t xml:space="preserve">§6.9; §7.4; Figure 9 caption; Conclusion RQ2.</w:t>
      </w:r>
    </w:p>
    <w:p>
      <w:pPr>
        <w:pStyle w:val="BodyText"/>
      </w:pPr>
      <w:r>
        <w:rPr>
          <w:b/>
          <w:bCs/>
        </w:rPr>
        <w:t xml:space="preserve">R2.10 —</w:t>
      </w:r>
      <w:r>
        <w:rPr>
          <w:b/>
          <w:bCs/>
        </w:rPr>
        <w:t xml:space="preserve"> </w:t>
      </w:r>
      <w:r>
        <w:rPr>
          <w:b/>
          <w:b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i/>
          <w:iCs/>
        </w:rPr>
        <w:t xml:space="preserve">Response.</w:t>
      </w:r>
      <w:r>
        <w:t xml:space="preserve"> </w:t>
      </w:r>
      <w:r>
        <w:t xml:space="preserve">This is now the paper’s stated identity, end to end: the title leads with</w:t>
      </w:r>
      <w:r>
        <w:t xml:space="preserve"> </w:t>
      </w:r>
      <w:r>
        <w:t xml:space="preserve">“Proxy-Based Diagnostics”</w:t>
      </w:r>
      <w:r>
        <w:t xml:space="preserve">; the abstract announces</w:t>
      </w:r>
      <w:r>
        <w:t xml:space="preserve"> </w:t>
      </w:r>
      <w:r>
        <w:t xml:space="preserve">“a proxy-based diagnostic and hypothesis-generation framework”</w:t>
      </w:r>
      <w:r>
        <w:t xml:space="preserve">; the contribution list names the landscape</w:t>
      </w:r>
      <w:r>
        <w:t xml:space="preserve"> </w:t>
      </w:r>
      <w:r>
        <w:t xml:space="preserve">“the paper’s central diagnostic and hypothesis-generation artifact”</w:t>
      </w:r>
      <w:r>
        <w:t xml:space="preserve">; §7.4 states the falsifiable hypotheses it generates; and the Conclusion opens by declaring the landscape the primary contribution and hypothesis generation the secondary one, followed by:</w:t>
      </w:r>
      <w:r>
        <w:t xml:space="preserve"> </w:t>
      </w:r>
      <w:r>
        <w:t xml:space="preserve">“The paper demonstrates no quantum advantage and implements no quantum algorithm.”</w:t>
      </w:r>
      <w:r>
        <w:t xml:space="preserve"> </w:t>
      </w:r>
      <w:r>
        <w:rPr>
          <w:i/>
          <w:iCs/>
        </w:rPr>
        <w:t xml:space="preserve">Changes:</w:t>
      </w:r>
      <w:r>
        <w:t xml:space="preserve"> </w:t>
      </w:r>
      <w:r>
        <w:t xml:space="preserve">Title; Abstract; §1; §7.4; §10.</w:t>
      </w:r>
    </w:p>
    <w:p>
      <w:r>
        <w:pict>
          <v:rect style="width:0;height:1.5pt" o:hralign="center" o:hrstd="t" o:hr="t"/>
        </w:pict>
      </w:r>
    </w:p>
    <w:bookmarkEnd w:id="9"/>
    <w:bookmarkStart w:id="10"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2026-08-16T15:27:18Z</dcterms:created>
  <dcterms:modified xsi:type="dcterms:W3CDTF">2026-08-16T15:27:18Z</dcterms:modified>
</cp:coreProperties>
</file>

<file path=docProps/custom.xml><?xml version="1.0" encoding="utf-8"?>
<Properties xmlns="http://schemas.openxmlformats.org/officeDocument/2006/custom-properties" xmlns:vt="http://schemas.openxmlformats.org/officeDocument/2006/docPropsVTypes"/>
</file>