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rPr>
          <w:i/>
          <w:iCs/>
        </w:rPr>
        <w:t xml:space="preserve">Sensors</w:t>
      </w:r>
      <w:r>
        <w:t xml:space="preserve"> </w:t>
      </w:r>
      <w:r>
        <w:t xml:space="preserve">(MDPI) ·</w:t>
      </w:r>
      <w:r>
        <w:t xml:space="preserve"> </w:t>
      </w:r>
      <w:r>
        <w:rPr>
          <w:b/>
          <w:bCs/>
        </w:rPr>
        <w:t xml:space="preserve">Manuscript ID:</w:t>
      </w:r>
      <w:r>
        <w:t xml:space="preserve"> </w:t>
      </w:r>
      <w:r>
        <w:t xml:space="preserve">sensors-4470240</w:t>
      </w:r>
    </w:p>
    <w:p>
      <w:pPr>
        <w:pStyle w:val="BodyText"/>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b/>
          <w:bCs/>
        </w:rPr>
        <w:t xml:space="preserve">Response.</w:t>
      </w:r>
      <w:r>
        <w:t xml:space="preserve"> </w:t>
      </w:r>
      <w:r>
        <w:t xml:space="preserve">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w:t>
      </w:r>
      <w:r>
        <w:t xml:space="preserve"> </w:t>
      </w:r>
      <w:r>
        <w:rPr>
          <w:i/>
          <w:iCs/>
        </w:rPr>
        <w:t xml:space="preserve">Information Sciences</w:t>
      </w:r>
      <w:r>
        <w:t xml:space="preserve"> </w:t>
      </w:r>
      <w:r>
        <w:rPr>
          <w:b/>
          <w:bCs/>
        </w:rPr>
        <w:t xml:space="preserve">676</w:t>
      </w:r>
      <w:r>
        <w:t xml:space="preserve">, article 120799, DOI 10.1016/j.ins.2024.120799.</w:t>
      </w:r>
    </w:p>
    <w:p>
      <w:pPr>
        <w:pStyle w:val="BodyText"/>
      </w:pPr>
      <w:r>
        <w:t xml:space="preserve">One preprint remains: Zhao et al.,</w:t>
      </w:r>
      <w:r>
        <w:t xml:space="preserve"> </w:t>
      </w:r>
      <w:r>
        <w:t xml:space="preserve">“Exponential quantum advantage in processing massive classical data”</w:t>
      </w:r>
      <w:r>
        <w:t xml:space="preserve"> </w:t>
      </w:r>
      <w:r>
        <w:t xml:space="preserve">(arXiv:2604.07639). On 16 August 2026 we re-checked whether it has been published or accepted anywhere. It has not: the arXiv record is still at version 1 with no journal reference; Crossref, Semantic Scholar, dblp, INSPIRE-HEP, Google Scholar and OpenReview list it as arXiv-only; it appears in no 2026 accepted-paper list (FOCS, STOC, QIP, TQC, CCC, SODA) and on no publisher page; and the authors’ publication pages give only the arXiv posting. We retain it because it is not cited as evidentiary support for a claim of ours; it is the specific framework under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pPr>
        <w:pStyle w:val="BodyText"/>
      </w:pPr>
      <w:r>
        <w:t xml:space="preserve">We have, however, reduced the manuscript’s reliance on it to the minimum honest attribution permits. Its in-text citations were cut from eight to six by consolidating two repeats. The entry is labelled</w:t>
      </w:r>
      <w:r>
        <w:t xml:space="preserve"> </w:t>
      </w:r>
      <w:r>
        <w:t xml:space="preserve">“Preprint”</w:t>
      </w:r>
      <w:r>
        <w:t xml:space="preserve">, and a footnote at its first citation states this status and explains why the preprint is not used as evidentiary support for the paper’s empirical conclusions: no quantum algorithm is implemented or simulated, and every inherited quantity is listed with its provenance and epistemic status in Table 1. We also added the strongest published anchor of its kind — Kallaugher, Parekh and Voronova (STOC 2024, pp. 1805–1815, DOI 10.1145/3618260.3649709), the first exponential quantum–classical space separation for a natural streaming problem — co-cited with it in the Related Work and in the footnote; in doing so we corrected a Related Work sentence that had credited the 2021 FOCS paper with an exponential separation (its advantage is polynomial). The bibliography now has 55 entries, and we re-checked that every in-text citation matches exactly one entry.</w:t>
      </w:r>
    </w:p>
    <w:p>
      <w:pPr>
        <w:pStyle w:val="BodyText"/>
      </w:pPr>
      <w:r>
        <w:t xml:space="preserve">Should the work appear in a peer-reviewed venue before this manuscript reaches proofs, we will substitute the published version at that stage; and if the Editor still prefers a different remedy, we will follow the Editor’s guidance.</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hyperlink r:id="rId9">
        <w:r>
          <w:rPr>
            <w:rStyle w:val="Hyperlink"/>
          </w:rPr>
          <w:t xml:space="preserve">abdelmoniem.hafez@cu.edu.eg</w:t>
        </w:r>
      </w:hyperlink>
      <w:r>
        <w:t xml:space="preserve"> </w:t>
      </w:r>
      <w:r>
        <w:t xml:space="preserve">· ORCID 0000-0001-5996-6019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bdelmoniem.hafez@cu.edu.eg" TargetMode="External" /></Relationships>
</file>

<file path=word/_rels/footnotes.xml.rels><?xml version="1.0" encoding="UTF-8"?><Relationships xmlns="http://schemas.openxmlformats.org/package/2006/relationships"><Relationship Type="http://schemas.openxmlformats.org/officeDocument/2006/relationships/hyperlink" Id="rId9" Target="mailto:abdelmoniem.hafez@c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2026-08-16T12:12:01Z</dcterms:created>
  <dcterms:modified xsi:type="dcterms:W3CDTF">2026-08-16T12:12:01Z</dcterms:modified>
</cp:coreProperties>
</file>

<file path=docProps/custom.xml><?xml version="1.0" encoding="utf-8"?>
<Properties xmlns="http://schemas.openxmlformats.org/officeDocument/2006/custom-properties" xmlns:vt="http://schemas.openxmlformats.org/officeDocument/2006/docPropsVTypes"/>
</file>