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2"/>
    <w:p>
      <w:pPr>
        <w:pStyle w:val="Heading1"/>
      </w:pPr>
      <w:r>
        <w:t xml:space="preserve">Response to Reviewer 2</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every in-text key maps one-to-one onto the bibliography. Following the Academic Editor’s request that preprints not be cited, the remaining preprint’s in-text citations were further reduced to the attribution-essential minimum, an explicit status footnote was added at its first citation in the Introduction, and one further peer-reviewed anchor was added and co-cited — Kallaugher, Parekh and Voronova (STOC 2024, DOI 10.1145/3618260.3649709), which establishes an exponential quantum–classical space separation for a natural streaming problem (this also corrects a Related-Work sentence that previously credited the 2021 FOCS paper with an exponential separation, whereas the advantage established there is polynomial). The bibliography now has 55 entries, consistency re-verified 55↔55; a separate response to the Academic Editor accompanies this letter.</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in four labelled parts:</w:t>
      </w:r>
      <w:r>
        <w:t xml:space="preserve"> </w:t>
      </w:r>
      <w:r>
        <w:rPr>
          <w:i/>
          <w:iCs/>
        </w:rPr>
        <w:t xml:space="preserve">Established theory</w:t>
      </w:r>
      <w:r>
        <w:t xml:space="preserve"> </w:t>
      </w:r>
      <w:r>
        <w:t xml:space="preserve">(the ×R overhead theorem, O(n)-qubit memory, task-specific O(N^c) hardness — all results of the original framework, taken as given);</w:t>
      </w:r>
      <w:r>
        <w:t xml:space="preserve"> </w:t>
      </w:r>
      <w:r>
        <w:rPr>
          <w:i/>
          <w:iCs/>
        </w:rPr>
        <w:t xml:space="preserve">Assumptions</w:t>
      </w:r>
      <w:r>
        <w:t xml:space="preserve"> </w:t>
      </w:r>
      <w:r>
        <w:t xml:space="preserve">(two-scalar summarisability, binarised-stream fidelity, task-rate-as-pipeline-stand-in — all modelling choices of this paper, none inherited);</w:t>
      </w:r>
      <w:r>
        <w:t xml:space="preserve"> </w:t>
      </w:r>
      <w:r>
        <w:rPr>
          <w:i/>
          <w:iCs/>
        </w:rPr>
        <w:t xml:space="preserve">Heuristic constructions</w:t>
      </w:r>
      <w:r>
        <w:t xml:space="preserve"> </w:t>
      </w:r>
      <w:r>
        <w:t xml:space="preserve">(the τ division absent from the framework’s accounting; the VC-type rate in place of oracle-construction cost); and</w:t>
      </w:r>
      <w:r>
        <w:t xml:space="preserve"> </w:t>
      </w:r>
      <w:r>
        <w:rPr>
          <w:i/>
          <w:iCs/>
        </w:rPr>
        <w:t xml:space="preserve">Scope limitations</w:t>
      </w:r>
      <w:r>
        <w:t xml:space="preserve">. Table 1 gives per-quantity provenance with an explicit</w:t>
      </w:r>
      <w:r>
        <w:t xml:space="preserve"> </w:t>
      </w:r>
      <w:r>
        <w:t xml:space="preserve">“not guaranteed”</w:t>
      </w:r>
      <w:r>
        <w:t xml:space="preserve"> </w:t>
      </w:r>
      <w:r>
        <w:t xml:space="preserve">column. We also now state the sharpest consequence: under the framework’s own r-only accounting, the Markov, seasonal, and long-memory regimes (r = 1) incur zero overhead and no proxy–baseline crossover exists — the τ-penalised landscape is a classical effective-sample-size stress test, strictly more pessimistic than the framework’s accounting, not a rendering of it.</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verification_scripts/exp5_reanalysis.py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Experiment 6 now opens with:</w:t>
      </w:r>
      <w:r>
        <w:t xml:space="preserve"> </w:t>
      </w:r>
      <w:r>
        <w:t xml:space="preserve">“No memory lower bound is measured empirically in this experiment: the curves in panel (a) plot cited theoretical quantities, and no result here constitutes an empirical memory floor for online SGD, averaged SGD, or Count-Min.”</w:t>
      </w:r>
      <w:r>
        <w:t xml:space="preserve"> </w:t>
      </w:r>
      <w:r>
        <w:t xml:space="preserve">Figure 6’s caption labels panel (a)</w:t>
      </w:r>
      <w:r>
        <w:t xml:space="preserve"> </w:t>
      </w:r>
      <w:r>
        <w:t xml:space="preserve">“cited bounds; no measured content”</w:t>
      </w:r>
      <w:r>
        <w:t xml:space="preserve"> </w:t>
      </w:r>
      <w:r>
        <w:t xml:space="preserve">and the in-image curve labels now read</w:t>
      </w:r>
      <w:r>
        <w:t xml:space="preserve"> </w:t>
      </w:r>
      <w:r>
        <w:t xml:space="preserve">“(cited theory)”</w:t>
      </w:r>
      <w:r>
        <w:t xml:space="preserve">. §3.3’s</w:t>
      </w:r>
      <w:r>
        <w:t xml:space="preserve"> </w:t>
      </w:r>
      <w:r>
        <w:t xml:space="preserve">“Memory references”</w:t>
      </w:r>
      <w:r>
        <w:t xml:space="preserve"> </w:t>
      </w:r>
      <w:r>
        <w:t xml:space="preserve">paragraph and the provenance table carry the same statement structurally,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2026-08-16T12:40:45Z</dcterms:created>
  <dcterms:modified xsi:type="dcterms:W3CDTF">2026-08-16T12:40:45Z</dcterms:modified>
</cp:coreProperties>
</file>

<file path=docProps/custom.xml><?xml version="1.0" encoding="utf-8"?>
<Properties xmlns="http://schemas.openxmlformats.org/officeDocument/2006/custom-properties" xmlns:vt="http://schemas.openxmlformats.org/officeDocument/2006/docPropsVTypes"/>
</file>