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7BB28" w14:textId="77777777" w:rsidR="006A4E9E" w:rsidRPr="006A4E9E" w:rsidRDefault="006A4E9E" w:rsidP="006A4E9E">
      <w:pPr>
        <w:spacing w:beforeAutospacing="1" w:after="0" w:afterAutospacing="1" w:line="240" w:lineRule="auto"/>
        <w:textAlignment w:val="baseline"/>
        <w:outlineLvl w:val="0"/>
        <w:rPr>
          <w:rFonts w:ascii="Segoe UI" w:eastAsia="Times New Roman" w:hAnsi="Segoe UI" w:cs="Segoe UI"/>
          <w:b/>
          <w:bCs/>
          <w:kern w:val="36"/>
          <w:sz w:val="48"/>
          <w:szCs w:val="48"/>
          <w14:ligatures w14:val="none"/>
        </w:rPr>
      </w:pPr>
      <w:r w:rsidRPr="006A4E9E">
        <w:rPr>
          <w:rFonts w:ascii="Segoe UI" w:eastAsia="Times New Roman" w:hAnsi="Segoe UI" w:cs="Segoe UI"/>
          <w:b/>
          <w:bCs/>
          <w:kern w:val="36"/>
          <w:sz w:val="48"/>
          <w:szCs w:val="48"/>
          <w:bdr w:val="none" w:sz="0" w:space="0" w:color="auto" w:frame="1"/>
          <w14:ligatures w14:val="none"/>
        </w:rPr>
        <w:t>An illusion of knowledge: When Capability Masquerades as Discovery</w:t>
      </w:r>
    </w:p>
    <w:p w14:paraId="0DD461F2" w14:textId="77777777" w:rsidR="006A4E9E" w:rsidRPr="006A4E9E" w:rsidRDefault="006A4E9E" w:rsidP="006A4E9E">
      <w:pPr>
        <w:spacing w:after="0" w:line="240" w:lineRule="auto"/>
        <w:textAlignment w:val="baseline"/>
        <w:rPr>
          <w:rFonts w:ascii="Segoe UI" w:eastAsia="Times New Roman" w:hAnsi="Segoe UI" w:cs="Segoe UI"/>
          <w:kern w:val="0"/>
          <w14:ligatures w14:val="none"/>
        </w:rPr>
      </w:pPr>
      <w:r w:rsidRPr="006A4E9E">
        <w:rPr>
          <w:rFonts w:ascii="Segoe UI" w:eastAsia="Times New Roman" w:hAnsi="Segoe UI" w:cs="Segoe UI"/>
          <w:kern w:val="0"/>
          <w14:ligatures w14:val="none"/>
        </w:rPr>
        <w:t>February 16, 2026</w:t>
      </w:r>
    </w:p>
    <w:p w14:paraId="41107EC2" w14:textId="77777777" w:rsidR="006A4E9E" w:rsidRDefault="006A4E9E" w:rsidP="006A4E9E">
      <w:pPr>
        <w:spacing w:after="480" w:line="240" w:lineRule="auto"/>
        <w:textAlignment w:val="baseline"/>
        <w:rPr>
          <w:rFonts w:ascii="Segoe UI" w:eastAsia="Times New Roman" w:hAnsi="Segoe UI" w:cs="Segoe UI"/>
          <w:kern w:val="0"/>
          <w14:ligatures w14:val="none"/>
        </w:rPr>
      </w:pPr>
    </w:p>
    <w:p w14:paraId="27BE2DA6" w14:textId="2BAA5876" w:rsidR="006A4E9E" w:rsidRPr="006A4E9E" w:rsidRDefault="006A4E9E" w:rsidP="006A4E9E">
      <w:pPr>
        <w:spacing w:after="480" w:line="240" w:lineRule="auto"/>
        <w:textAlignment w:val="baseline"/>
        <w:rPr>
          <w:rFonts w:ascii="Segoe UI" w:eastAsia="Times New Roman" w:hAnsi="Segoe UI" w:cs="Segoe UI"/>
          <w:kern w:val="0"/>
          <w14:ligatures w14:val="none"/>
        </w:rPr>
      </w:pPr>
      <w:r w:rsidRPr="006A4E9E">
        <w:rPr>
          <w:rFonts w:ascii="Segoe UI" w:eastAsia="Times New Roman" w:hAnsi="Segoe UI" w:cs="Segoe UI"/>
          <w:kern w:val="0"/>
          <w14:ligatures w14:val="none"/>
        </w:rPr>
        <w:t>The molecular biosciences face a recurring structural problem that is rarely stated directly. A new instrument appears and promises to produce data at a scale that was previously impossible. Very quickly there is an expensive arms race after embellishing and furthering the tool rather than explaining what those data seem to show. The tool begins to stand in for the insight it was meant to support.</w:t>
      </w:r>
    </w:p>
    <w:p w14:paraId="45E9FDA4" w14:textId="77777777" w:rsidR="006A4E9E" w:rsidRPr="006A4E9E" w:rsidRDefault="006A4E9E" w:rsidP="006A4E9E">
      <w:pPr>
        <w:spacing w:after="480" w:line="240" w:lineRule="auto"/>
        <w:textAlignment w:val="baseline"/>
        <w:rPr>
          <w:rFonts w:ascii="Segoe UI" w:eastAsia="Times New Roman" w:hAnsi="Segoe UI" w:cs="Segoe UI"/>
          <w:kern w:val="0"/>
          <w14:ligatures w14:val="none"/>
        </w:rPr>
      </w:pPr>
      <w:r w:rsidRPr="006A4E9E">
        <w:rPr>
          <w:rFonts w:ascii="Segoe UI" w:eastAsia="Times New Roman" w:hAnsi="Segoe UI" w:cs="Segoe UI"/>
          <w:kern w:val="0"/>
          <w14:ligatures w14:val="none"/>
        </w:rPr>
        <w:t xml:space="preserve">Researchers invest substantial time learning updated protocols, rebuilding pipelines, validating outputs, and reconciling results across versions. The result is scientific inquiry being abandoned simply because there </w:t>
      </w:r>
      <w:proofErr w:type="gramStart"/>
      <w:r w:rsidRPr="006A4E9E">
        <w:rPr>
          <w:rFonts w:ascii="Segoe UI" w:eastAsia="Times New Roman" w:hAnsi="Segoe UI" w:cs="Segoe UI"/>
          <w:kern w:val="0"/>
          <w14:ligatures w14:val="none"/>
        </w:rPr>
        <w:t>is</w:t>
      </w:r>
      <w:proofErr w:type="gramEnd"/>
      <w:r w:rsidRPr="006A4E9E">
        <w:rPr>
          <w:rFonts w:ascii="Segoe UI" w:eastAsia="Times New Roman" w:hAnsi="Segoe UI" w:cs="Segoe UI"/>
          <w:kern w:val="0"/>
          <w14:ligatures w14:val="none"/>
        </w:rPr>
        <w:t xml:space="preserve"> no time and resource for it. Several episodes over the past three decades illustrate this pattern and more over the story repeats itself in the AI for Bio arena.</w:t>
      </w:r>
    </w:p>
    <w:p w14:paraId="3CB4493B" w14:textId="77777777" w:rsidR="006A4E9E" w:rsidRPr="006A4E9E" w:rsidRDefault="006A4E9E" w:rsidP="006A4E9E">
      <w:pPr>
        <w:spacing w:after="480" w:line="240" w:lineRule="auto"/>
        <w:textAlignment w:val="baseline"/>
        <w:rPr>
          <w:rFonts w:ascii="Segoe UI" w:eastAsia="Times New Roman" w:hAnsi="Segoe UI" w:cs="Segoe UI"/>
          <w:b/>
          <w:bCs/>
          <w:kern w:val="0"/>
          <w14:ligatures w14:val="none"/>
        </w:rPr>
      </w:pPr>
      <w:r w:rsidRPr="006A4E9E">
        <w:rPr>
          <w:rFonts w:ascii="Segoe UI" w:eastAsia="Times New Roman" w:hAnsi="Segoe UI" w:cs="Segoe UI"/>
          <w:b/>
          <w:bCs/>
          <w:kern w:val="0"/>
          <w14:ligatures w14:val="none"/>
        </w:rPr>
        <w:t>Conserved Elements and the Regulation Problem</w:t>
      </w:r>
    </w:p>
    <w:p w14:paraId="6B6A2F4D" w14:textId="77777777" w:rsidR="006A4E9E" w:rsidRPr="006A4E9E" w:rsidRDefault="006A4E9E" w:rsidP="006A4E9E">
      <w:pPr>
        <w:spacing w:after="480" w:line="240" w:lineRule="auto"/>
        <w:textAlignment w:val="baseline"/>
        <w:rPr>
          <w:rFonts w:ascii="Segoe UI" w:eastAsia="Times New Roman" w:hAnsi="Segoe UI" w:cs="Segoe UI"/>
          <w:kern w:val="0"/>
          <w14:ligatures w14:val="none"/>
        </w:rPr>
      </w:pPr>
      <w:r w:rsidRPr="006A4E9E">
        <w:rPr>
          <w:rFonts w:ascii="Segoe UI" w:eastAsia="Times New Roman" w:hAnsi="Segoe UI" w:cs="Segoe UI"/>
          <w:kern w:val="0"/>
          <w14:ligatures w14:val="none"/>
        </w:rPr>
        <w:t>By the early 2000s, dozens of whole genomes had been assembled, and comparative genomics became practical at scale. Conserved non-coding sequences across species were taken as strong candidates for regulatory function. The reasoning was pragmatic: sequences preserved across evolutionary distance were unlikely to be neutral, and regulatory elements were a plausible explanation. As more genomes were added, many expected that assembling the regulatory architecture of the genome would become a cumulative process.</w:t>
      </w:r>
    </w:p>
    <w:p w14:paraId="63A59921" w14:textId="77777777" w:rsidR="006A4E9E" w:rsidRPr="006A4E9E" w:rsidRDefault="006A4E9E" w:rsidP="006A4E9E">
      <w:pPr>
        <w:spacing w:after="480" w:line="240" w:lineRule="auto"/>
        <w:textAlignment w:val="baseline"/>
        <w:rPr>
          <w:rFonts w:ascii="Segoe UI" w:eastAsia="Times New Roman" w:hAnsi="Segoe UI" w:cs="Segoe UI"/>
          <w:kern w:val="0"/>
          <w14:ligatures w14:val="none"/>
        </w:rPr>
      </w:pPr>
      <w:r w:rsidRPr="006A4E9E">
        <w:rPr>
          <w:rFonts w:ascii="Segoe UI" w:eastAsia="Times New Roman" w:hAnsi="Segoe UI" w:cs="Segoe UI"/>
          <w:kern w:val="0"/>
          <w14:ligatures w14:val="none"/>
        </w:rPr>
        <w:t>The cataloguing effort succeeded. Conserved elements were mapped extensively. What proved more difficult was translating conservation into mechanistic understanding. Conservation marks selective constraint, but it does not specify how a sequence functions, how it interacts with chromatin context, or why similar motifs behave differently across tissues and developmental stages. Regulatory modeling progressed, but in an environment of ongoing methodological turnover that continually redirected attention.</w:t>
      </w:r>
    </w:p>
    <w:p w14:paraId="62F06014" w14:textId="77777777" w:rsidR="006A4E9E" w:rsidRPr="006A4E9E" w:rsidRDefault="006A4E9E" w:rsidP="006A4E9E">
      <w:pPr>
        <w:spacing w:after="480" w:line="240" w:lineRule="auto"/>
        <w:textAlignment w:val="baseline"/>
        <w:rPr>
          <w:rFonts w:ascii="Segoe UI" w:eastAsia="Times New Roman" w:hAnsi="Segoe UI" w:cs="Segoe UI"/>
          <w:b/>
          <w:bCs/>
          <w:kern w:val="0"/>
          <w14:ligatures w14:val="none"/>
        </w:rPr>
      </w:pPr>
      <w:r w:rsidRPr="006A4E9E">
        <w:rPr>
          <w:rFonts w:ascii="Segoe UI" w:eastAsia="Times New Roman" w:hAnsi="Segoe UI" w:cs="Segoe UI"/>
          <w:b/>
          <w:bCs/>
          <w:kern w:val="0"/>
          <w14:ligatures w14:val="none"/>
        </w:rPr>
        <w:lastRenderedPageBreak/>
        <w:t>Expression Data and the Diagnostic Mirage</w:t>
      </w:r>
    </w:p>
    <w:p w14:paraId="3AA2B7FB" w14:textId="77777777" w:rsidR="006A4E9E" w:rsidRPr="006A4E9E" w:rsidRDefault="006A4E9E" w:rsidP="006A4E9E">
      <w:pPr>
        <w:spacing w:after="480" w:line="240" w:lineRule="auto"/>
        <w:textAlignment w:val="baseline"/>
        <w:rPr>
          <w:rFonts w:ascii="Segoe UI" w:eastAsia="Times New Roman" w:hAnsi="Segoe UI" w:cs="Segoe UI"/>
          <w:kern w:val="0"/>
          <w14:ligatures w14:val="none"/>
        </w:rPr>
      </w:pPr>
      <w:r w:rsidRPr="006A4E9E">
        <w:rPr>
          <w:rFonts w:ascii="Segoe UI" w:eastAsia="Times New Roman" w:hAnsi="Segoe UI" w:cs="Segoe UI"/>
          <w:kern w:val="0"/>
          <w14:ligatures w14:val="none"/>
        </w:rPr>
        <w:t>Microarrays in the late 1990s and early 2000s made genome wide expression profiling routine. RNA sequencing soon replaced them and extended dynamic range and resolution. For the first time, global transcriptional states could be compared across diseases, perturbations, and developmental contexts with relative ease. The expectation was practical: sufficiently large datasets should reveal reproducible signatures and clarify which genes played central roles in pathology.</w:t>
      </w:r>
    </w:p>
    <w:p w14:paraId="0F78F46C" w14:textId="77777777" w:rsidR="006A4E9E" w:rsidRPr="006A4E9E" w:rsidRDefault="006A4E9E" w:rsidP="006A4E9E">
      <w:pPr>
        <w:spacing w:after="480" w:line="240" w:lineRule="auto"/>
        <w:textAlignment w:val="baseline"/>
        <w:rPr>
          <w:rFonts w:ascii="Segoe UI" w:eastAsia="Times New Roman" w:hAnsi="Segoe UI" w:cs="Segoe UI"/>
          <w:kern w:val="0"/>
          <w14:ligatures w14:val="none"/>
        </w:rPr>
      </w:pPr>
      <w:r w:rsidRPr="006A4E9E">
        <w:rPr>
          <w:rFonts w:ascii="Segoe UI" w:eastAsia="Times New Roman" w:hAnsi="Segoe UI" w:cs="Segoe UI"/>
          <w:kern w:val="0"/>
          <w14:ligatures w14:val="none"/>
        </w:rPr>
        <w:t>Experience proved more complicated. Expression signatures often depended strongly on cohort composition, tissue sampling, preprocessing decisions, and platform characteristics. Transitions from microarrays to bulk RNA sequencing, then to single cell approaches, and later to spatial transcriptomics each opened new levels of resolution. They also introduced new normalization strategies and technical artifacts that required careful study. Considerable effort went into establishing internal reproducibility within each generation of technology. Interpretation advanced, but the accumulation of data did not automatically produce stable diagnostic reduction.</w:t>
      </w:r>
    </w:p>
    <w:p w14:paraId="2E459DB7" w14:textId="77777777" w:rsidR="006A4E9E" w:rsidRPr="006A4E9E" w:rsidRDefault="006A4E9E" w:rsidP="006A4E9E">
      <w:pPr>
        <w:spacing w:after="480" w:line="240" w:lineRule="auto"/>
        <w:textAlignment w:val="baseline"/>
        <w:rPr>
          <w:rFonts w:ascii="Segoe UI" w:eastAsia="Times New Roman" w:hAnsi="Segoe UI" w:cs="Segoe UI"/>
          <w:b/>
          <w:bCs/>
          <w:kern w:val="0"/>
          <w14:ligatures w14:val="none"/>
        </w:rPr>
      </w:pPr>
      <w:r w:rsidRPr="006A4E9E">
        <w:rPr>
          <w:rFonts w:ascii="Segoe UI" w:eastAsia="Times New Roman" w:hAnsi="Segoe UI" w:cs="Segoe UI"/>
          <w:b/>
          <w:bCs/>
          <w:kern w:val="0"/>
          <w14:ligatures w14:val="none"/>
        </w:rPr>
        <w:t>Multiplexed Cytometry and the Cell Type Catalogue</w:t>
      </w:r>
    </w:p>
    <w:p w14:paraId="3FC03E16" w14:textId="77777777" w:rsidR="006A4E9E" w:rsidRPr="006A4E9E" w:rsidRDefault="006A4E9E" w:rsidP="006A4E9E">
      <w:pPr>
        <w:spacing w:after="480" w:line="240" w:lineRule="auto"/>
        <w:textAlignment w:val="baseline"/>
        <w:rPr>
          <w:rFonts w:ascii="Segoe UI" w:eastAsia="Times New Roman" w:hAnsi="Segoe UI" w:cs="Segoe UI"/>
          <w:kern w:val="0"/>
          <w14:ligatures w14:val="none"/>
        </w:rPr>
      </w:pPr>
      <w:r w:rsidRPr="006A4E9E">
        <w:rPr>
          <w:rFonts w:ascii="Segoe UI" w:eastAsia="Times New Roman" w:hAnsi="Segoe UI" w:cs="Segoe UI"/>
          <w:kern w:val="0"/>
          <w14:ligatures w14:val="none"/>
        </w:rPr>
        <w:t>Early flow cytometry panels measured only a handful of markers at once. Over time, parameter counts increased substantially. Mass cytometry and spectral methods pushed dimensionality further. Each expansion encouraged the belief that increasing marker resolution would settle longstanding questions about cellular composition in complex tissues.</w:t>
      </w:r>
    </w:p>
    <w:p w14:paraId="4D1AAC35" w14:textId="77777777" w:rsidR="006A4E9E" w:rsidRPr="006A4E9E" w:rsidRDefault="006A4E9E" w:rsidP="006A4E9E">
      <w:pPr>
        <w:spacing w:after="480" w:line="240" w:lineRule="auto"/>
        <w:textAlignment w:val="baseline"/>
        <w:rPr>
          <w:rFonts w:ascii="Segoe UI" w:eastAsia="Times New Roman" w:hAnsi="Segoe UI" w:cs="Segoe UI"/>
          <w:kern w:val="0"/>
          <w14:ligatures w14:val="none"/>
        </w:rPr>
      </w:pPr>
      <w:r w:rsidRPr="006A4E9E">
        <w:rPr>
          <w:rFonts w:ascii="Segoe UI" w:eastAsia="Times New Roman" w:hAnsi="Segoe UI" w:cs="Segoe UI"/>
          <w:kern w:val="0"/>
          <w14:ligatures w14:val="none"/>
        </w:rPr>
        <w:t>Higher dimensional data instead revealed gradients rather than clean boundaries. Marker expression shifted with activation state and microenvironment. Subpopulations subdivided further as resolution increased. The definition of a stable cell type became more context dependent than earlier models had assumed. Analytical frameworks evolved alongside the instruments. New clustering algorithms, visualization strategies, and validation approaches were required. Previously accepted population definitions were revisited. The conceptual landscape grew richer but also more complex.</w:t>
      </w:r>
    </w:p>
    <w:p w14:paraId="134D3B68" w14:textId="77777777" w:rsidR="006A4E9E" w:rsidRPr="006A4E9E" w:rsidRDefault="006A4E9E" w:rsidP="006A4E9E">
      <w:pPr>
        <w:spacing w:after="480" w:line="240" w:lineRule="auto"/>
        <w:textAlignment w:val="baseline"/>
        <w:rPr>
          <w:rFonts w:ascii="Segoe UI" w:eastAsia="Times New Roman" w:hAnsi="Segoe UI" w:cs="Segoe UI"/>
          <w:b/>
          <w:bCs/>
          <w:kern w:val="0"/>
          <w14:ligatures w14:val="none"/>
        </w:rPr>
      </w:pPr>
      <w:r w:rsidRPr="006A4E9E">
        <w:rPr>
          <w:rFonts w:ascii="Segoe UI" w:eastAsia="Times New Roman" w:hAnsi="Segoe UI" w:cs="Segoe UI"/>
          <w:b/>
          <w:bCs/>
          <w:kern w:val="0"/>
          <w14:ligatures w14:val="none"/>
        </w:rPr>
        <w:t>Bayesian Networks and the Regulatory Wiring Diagram</w:t>
      </w:r>
    </w:p>
    <w:p w14:paraId="14ECC992" w14:textId="77777777" w:rsidR="006A4E9E" w:rsidRPr="006A4E9E" w:rsidRDefault="006A4E9E" w:rsidP="006A4E9E">
      <w:pPr>
        <w:spacing w:after="480" w:line="240" w:lineRule="auto"/>
        <w:textAlignment w:val="baseline"/>
        <w:rPr>
          <w:rFonts w:ascii="Segoe UI" w:eastAsia="Times New Roman" w:hAnsi="Segoe UI" w:cs="Segoe UI"/>
          <w:kern w:val="0"/>
          <w14:ligatures w14:val="none"/>
        </w:rPr>
      </w:pPr>
      <w:r w:rsidRPr="006A4E9E">
        <w:rPr>
          <w:rFonts w:ascii="Segoe UI" w:eastAsia="Times New Roman" w:hAnsi="Segoe UI" w:cs="Segoe UI"/>
          <w:kern w:val="0"/>
          <w14:ligatures w14:val="none"/>
        </w:rPr>
        <w:lastRenderedPageBreak/>
        <w:t>In the early 2000s, probabilistic graphical models were widely applied to gene and protein expression datasets in the hope of reconstructing regulatory networks. The logic was straightforward: sufficiently large datasets, analyzed with appropriate inference frameworks, should allow network structure to be inferred from statistical dependencies.</w:t>
      </w:r>
    </w:p>
    <w:p w14:paraId="5AFD8FC6" w14:textId="77777777" w:rsidR="006A4E9E" w:rsidRPr="006A4E9E" w:rsidRDefault="006A4E9E" w:rsidP="006A4E9E">
      <w:pPr>
        <w:spacing w:after="480" w:line="240" w:lineRule="auto"/>
        <w:textAlignment w:val="baseline"/>
        <w:rPr>
          <w:rFonts w:ascii="Segoe UI" w:eastAsia="Times New Roman" w:hAnsi="Segoe UI" w:cs="Segoe UI"/>
          <w:kern w:val="0"/>
          <w14:ligatures w14:val="none"/>
        </w:rPr>
      </w:pPr>
      <w:r w:rsidRPr="006A4E9E">
        <w:rPr>
          <w:rFonts w:ascii="Segoe UI" w:eastAsia="Times New Roman" w:hAnsi="Segoe UI" w:cs="Segoe UI"/>
          <w:kern w:val="0"/>
          <w14:ligatures w14:val="none"/>
        </w:rPr>
        <w:t>In practice, large search spaces, hidden variables, and the limits of observational data constrained what could be inferred reliably. Many proposed networks were difficult to test experimentally or were sensitive to modeling assumptions. At the same time, new inference methods proliferated. Benchmarking, comparison, and evaluation became substantial areas of activity. The methodological literature expanded rapidly, while experimentally grounded regulatory models accumulated more slowly.</w:t>
      </w:r>
    </w:p>
    <w:p w14:paraId="4C817F70" w14:textId="77777777" w:rsidR="006A4E9E" w:rsidRPr="006A4E9E" w:rsidRDefault="006A4E9E" w:rsidP="006A4E9E">
      <w:pPr>
        <w:spacing w:after="480" w:line="240" w:lineRule="auto"/>
        <w:textAlignment w:val="baseline"/>
        <w:rPr>
          <w:rFonts w:ascii="Segoe UI" w:eastAsia="Times New Roman" w:hAnsi="Segoe UI" w:cs="Segoe UI"/>
          <w:b/>
          <w:bCs/>
          <w:kern w:val="0"/>
          <w14:ligatures w14:val="none"/>
        </w:rPr>
      </w:pPr>
      <w:r w:rsidRPr="006A4E9E">
        <w:rPr>
          <w:rFonts w:ascii="Segoe UI" w:eastAsia="Times New Roman" w:hAnsi="Segoe UI" w:cs="Segoe UI"/>
          <w:b/>
          <w:bCs/>
          <w:kern w:val="0"/>
          <w14:ligatures w14:val="none"/>
        </w:rPr>
        <w:t>The AI Parallel</w:t>
      </w:r>
    </w:p>
    <w:p w14:paraId="1F02C3BB" w14:textId="77777777" w:rsidR="006A4E9E" w:rsidRPr="006A4E9E" w:rsidRDefault="006A4E9E" w:rsidP="006A4E9E">
      <w:pPr>
        <w:spacing w:after="480" w:line="240" w:lineRule="auto"/>
        <w:textAlignment w:val="baseline"/>
        <w:rPr>
          <w:rFonts w:ascii="Segoe UI" w:eastAsia="Times New Roman" w:hAnsi="Segoe UI" w:cs="Segoe UI"/>
          <w:kern w:val="0"/>
          <w14:ligatures w14:val="none"/>
        </w:rPr>
      </w:pPr>
      <w:r w:rsidRPr="006A4E9E">
        <w:rPr>
          <w:rFonts w:ascii="Segoe UI" w:eastAsia="Times New Roman" w:hAnsi="Segoe UI" w:cs="Segoe UI"/>
          <w:kern w:val="0"/>
          <w14:ligatures w14:val="none"/>
        </w:rPr>
        <w:t>The technologies described above worked. They expanded measurable space and revealed real biological structure. What repeatedly required more time than anticipated was integrating those measurements into explanatory models.</w:t>
      </w:r>
    </w:p>
    <w:p w14:paraId="481BA0D2" w14:textId="77777777" w:rsidR="006A4E9E" w:rsidRPr="006A4E9E" w:rsidRDefault="006A4E9E" w:rsidP="006A4E9E">
      <w:pPr>
        <w:spacing w:after="480" w:line="240" w:lineRule="auto"/>
        <w:textAlignment w:val="baseline"/>
        <w:rPr>
          <w:rFonts w:ascii="Segoe UI" w:eastAsia="Times New Roman" w:hAnsi="Segoe UI" w:cs="Segoe UI"/>
          <w:kern w:val="0"/>
          <w14:ligatures w14:val="none"/>
        </w:rPr>
      </w:pPr>
      <w:r w:rsidRPr="006A4E9E">
        <w:rPr>
          <w:rFonts w:ascii="Segoe UI" w:eastAsia="Times New Roman" w:hAnsi="Segoe UI" w:cs="Segoe UI"/>
          <w:kern w:val="0"/>
          <w14:ligatures w14:val="none"/>
        </w:rPr>
        <w:t>Artificial intelligence now enters the biosciences in a different position. It does not simply expand measurement. It participates in data processing, literature synthesis, hypothesis generation, modeling, and aspects of experimental planning. Its influence reaches into interpretive stages that earlier instruments left largely to human judgment.</w:t>
      </w:r>
    </w:p>
    <w:p w14:paraId="66F5617E" w14:textId="77777777" w:rsidR="006A4E9E" w:rsidRPr="006A4E9E" w:rsidRDefault="006A4E9E" w:rsidP="006A4E9E">
      <w:pPr>
        <w:spacing w:after="480" w:line="240" w:lineRule="auto"/>
        <w:textAlignment w:val="baseline"/>
        <w:rPr>
          <w:rFonts w:ascii="Segoe UI" w:eastAsia="Times New Roman" w:hAnsi="Segoe UI" w:cs="Segoe UI"/>
          <w:kern w:val="0"/>
          <w14:ligatures w14:val="none"/>
        </w:rPr>
      </w:pPr>
      <w:r w:rsidRPr="006A4E9E">
        <w:rPr>
          <w:rFonts w:ascii="Segoe UI" w:eastAsia="Times New Roman" w:hAnsi="Segoe UI" w:cs="Segoe UI"/>
          <w:kern w:val="0"/>
          <w14:ligatures w14:val="none"/>
        </w:rPr>
        <w:t>At the same time, AI systems evolve quickly. Models are updated, software frameworks change, and recommended analytical practices shift over short intervals. Maintaining competence requires continuous adjustment. Earlier technologies, even when disruptive, often allowed periods during which methods stabilized and interpretation consolidated. With AI, those intervals are compressing to the point where consolidation itself becomes difficult.</w:t>
      </w:r>
    </w:p>
    <w:p w14:paraId="6EAA0A5E" w14:textId="77777777" w:rsidR="006A4E9E" w:rsidRPr="006A4E9E" w:rsidRDefault="006A4E9E" w:rsidP="006A4E9E">
      <w:pPr>
        <w:spacing w:after="480" w:line="240" w:lineRule="auto"/>
        <w:textAlignment w:val="baseline"/>
        <w:rPr>
          <w:rFonts w:ascii="Segoe UI" w:eastAsia="Times New Roman" w:hAnsi="Segoe UI" w:cs="Segoe UI"/>
          <w:kern w:val="0"/>
          <w14:ligatures w14:val="none"/>
        </w:rPr>
      </w:pPr>
      <w:r w:rsidRPr="006A4E9E">
        <w:rPr>
          <w:rFonts w:ascii="Segoe UI" w:eastAsia="Times New Roman" w:hAnsi="Segoe UI" w:cs="Segoe UI"/>
          <w:kern w:val="0"/>
          <w14:ligatures w14:val="none"/>
        </w:rPr>
        <w:t>The central difficulty in bioscience lies in connecting statistical structure to mechanistic explanation. New instruments reliably expose patterns. Converting those patterns into causal models requires sustained theoretical and experimental work. If AI accelerates pattern detection while compressing the time available for integration and validation, the gap between measurement and mechanistic understanding may widen further.</w:t>
      </w:r>
    </w:p>
    <w:p w14:paraId="0C5CB20F" w14:textId="77777777" w:rsidR="006A4E9E" w:rsidRPr="006A4E9E" w:rsidRDefault="006A4E9E" w:rsidP="006A4E9E">
      <w:pPr>
        <w:spacing w:after="480" w:line="240" w:lineRule="auto"/>
        <w:textAlignment w:val="baseline"/>
        <w:rPr>
          <w:rFonts w:ascii="Segoe UI" w:eastAsia="Times New Roman" w:hAnsi="Segoe UI" w:cs="Segoe UI"/>
          <w:kern w:val="0"/>
          <w14:ligatures w14:val="none"/>
        </w:rPr>
      </w:pPr>
      <w:r w:rsidRPr="006A4E9E">
        <w:rPr>
          <w:rFonts w:ascii="Segoe UI" w:eastAsia="Times New Roman" w:hAnsi="Segoe UI" w:cs="Segoe UI"/>
          <w:kern w:val="0"/>
          <w14:ligatures w14:val="none"/>
        </w:rPr>
        <w:lastRenderedPageBreak/>
        <w:t>The open question is whether the field can redesign its training and research structures to prevent interpretive work from being crowded out.</w:t>
      </w:r>
    </w:p>
    <w:p w14:paraId="5B27B14E" w14:textId="77777777" w:rsidR="006A4E9E" w:rsidRPr="006A4E9E" w:rsidRDefault="006A4E9E" w:rsidP="006A4E9E">
      <w:pPr>
        <w:spacing w:after="0" w:line="240" w:lineRule="auto"/>
        <w:rPr>
          <w:rFonts w:ascii="Times New Roman" w:eastAsia="Times New Roman" w:hAnsi="Times New Roman" w:cs="Times New Roman"/>
          <w:kern w:val="0"/>
          <w14:ligatures w14:val="none"/>
        </w:rPr>
      </w:pPr>
    </w:p>
    <w:p w14:paraId="0A6F138B" w14:textId="77777777" w:rsidR="006A4E9E" w:rsidRDefault="006A4E9E"/>
    <w:sectPr w:rsidR="006A4E9E">
      <w:footerReference w:type="even" r:id="rId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E5C40" w14:textId="77777777" w:rsidR="006575D1" w:rsidRDefault="006575D1" w:rsidP="006A4E9E">
      <w:pPr>
        <w:spacing w:after="0" w:line="240" w:lineRule="auto"/>
      </w:pPr>
      <w:r>
        <w:separator/>
      </w:r>
    </w:p>
  </w:endnote>
  <w:endnote w:type="continuationSeparator" w:id="0">
    <w:p w14:paraId="394C580A" w14:textId="77777777" w:rsidR="006575D1" w:rsidRDefault="006575D1" w:rsidP="006A4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8179753"/>
      <w:docPartObj>
        <w:docPartGallery w:val="Page Numbers (Bottom of Page)"/>
        <w:docPartUnique/>
      </w:docPartObj>
    </w:sdtPr>
    <w:sdtContent>
      <w:p w14:paraId="5DED7431" w14:textId="0CB83087" w:rsidR="006A4E9E" w:rsidRDefault="006A4E9E" w:rsidP="00EF60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9AF1CB7" w14:textId="77777777" w:rsidR="006A4E9E" w:rsidRDefault="006A4E9E" w:rsidP="006A4E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4591719"/>
      <w:docPartObj>
        <w:docPartGallery w:val="Page Numbers (Bottom of Page)"/>
        <w:docPartUnique/>
      </w:docPartObj>
    </w:sdtPr>
    <w:sdtContent>
      <w:p w14:paraId="2EA09DEE" w14:textId="6BEED8EC" w:rsidR="006A4E9E" w:rsidRDefault="006A4E9E" w:rsidP="00EF60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6A90E90" w14:textId="77777777" w:rsidR="006A4E9E" w:rsidRDefault="006A4E9E" w:rsidP="006A4E9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6834F" w14:textId="77777777" w:rsidR="006575D1" w:rsidRDefault="006575D1" w:rsidP="006A4E9E">
      <w:pPr>
        <w:spacing w:after="0" w:line="240" w:lineRule="auto"/>
      </w:pPr>
      <w:r>
        <w:separator/>
      </w:r>
    </w:p>
  </w:footnote>
  <w:footnote w:type="continuationSeparator" w:id="0">
    <w:p w14:paraId="750C2CAF" w14:textId="77777777" w:rsidR="006575D1" w:rsidRDefault="006575D1" w:rsidP="006A4E9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E9E"/>
    <w:rsid w:val="006575D1"/>
    <w:rsid w:val="006A4E9E"/>
    <w:rsid w:val="00B21DF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C5C8461"/>
  <w15:chartTrackingRefBased/>
  <w15:docId w15:val="{83D8443C-148C-7F45-872A-6D594931F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4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4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E9E"/>
    <w:rPr>
      <w:rFonts w:eastAsiaTheme="majorEastAsia" w:cstheme="majorBidi"/>
      <w:color w:val="272727" w:themeColor="text1" w:themeTint="D8"/>
    </w:rPr>
  </w:style>
  <w:style w:type="paragraph" w:styleId="Title">
    <w:name w:val="Title"/>
    <w:basedOn w:val="Normal"/>
    <w:next w:val="Normal"/>
    <w:link w:val="TitleChar"/>
    <w:uiPriority w:val="10"/>
    <w:qFormat/>
    <w:rsid w:val="006A4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E9E"/>
    <w:pPr>
      <w:spacing w:before="160"/>
      <w:jc w:val="center"/>
    </w:pPr>
    <w:rPr>
      <w:i/>
      <w:iCs/>
      <w:color w:val="404040" w:themeColor="text1" w:themeTint="BF"/>
    </w:rPr>
  </w:style>
  <w:style w:type="character" w:customStyle="1" w:styleId="QuoteChar">
    <w:name w:val="Quote Char"/>
    <w:basedOn w:val="DefaultParagraphFont"/>
    <w:link w:val="Quote"/>
    <w:uiPriority w:val="29"/>
    <w:rsid w:val="006A4E9E"/>
    <w:rPr>
      <w:i/>
      <w:iCs/>
      <w:color w:val="404040" w:themeColor="text1" w:themeTint="BF"/>
    </w:rPr>
  </w:style>
  <w:style w:type="paragraph" w:styleId="ListParagraph">
    <w:name w:val="List Paragraph"/>
    <w:basedOn w:val="Normal"/>
    <w:uiPriority w:val="34"/>
    <w:qFormat/>
    <w:rsid w:val="006A4E9E"/>
    <w:pPr>
      <w:ind w:left="720"/>
      <w:contextualSpacing/>
    </w:pPr>
  </w:style>
  <w:style w:type="character" w:styleId="IntenseEmphasis">
    <w:name w:val="Intense Emphasis"/>
    <w:basedOn w:val="DefaultParagraphFont"/>
    <w:uiPriority w:val="21"/>
    <w:qFormat/>
    <w:rsid w:val="006A4E9E"/>
    <w:rPr>
      <w:i/>
      <w:iCs/>
      <w:color w:val="0F4761" w:themeColor="accent1" w:themeShade="BF"/>
    </w:rPr>
  </w:style>
  <w:style w:type="paragraph" w:styleId="IntenseQuote">
    <w:name w:val="Intense Quote"/>
    <w:basedOn w:val="Normal"/>
    <w:next w:val="Normal"/>
    <w:link w:val="IntenseQuoteChar"/>
    <w:uiPriority w:val="30"/>
    <w:qFormat/>
    <w:rsid w:val="006A4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E9E"/>
    <w:rPr>
      <w:i/>
      <w:iCs/>
      <w:color w:val="0F4761" w:themeColor="accent1" w:themeShade="BF"/>
    </w:rPr>
  </w:style>
  <w:style w:type="character" w:styleId="IntenseReference">
    <w:name w:val="Intense Reference"/>
    <w:basedOn w:val="DefaultParagraphFont"/>
    <w:uiPriority w:val="32"/>
    <w:qFormat/>
    <w:rsid w:val="006A4E9E"/>
    <w:rPr>
      <w:b/>
      <w:bCs/>
      <w:smallCaps/>
      <w:color w:val="0F4761" w:themeColor="accent1" w:themeShade="BF"/>
      <w:spacing w:val="5"/>
    </w:rPr>
  </w:style>
  <w:style w:type="character" w:styleId="Hyperlink">
    <w:name w:val="Hyperlink"/>
    <w:basedOn w:val="DefaultParagraphFont"/>
    <w:uiPriority w:val="99"/>
    <w:semiHidden/>
    <w:unhideWhenUsed/>
    <w:rsid w:val="006A4E9E"/>
    <w:rPr>
      <w:color w:val="0000FF"/>
      <w:u w:val="single"/>
    </w:rPr>
  </w:style>
  <w:style w:type="paragraph" w:customStyle="1" w:styleId="ember-view">
    <w:name w:val="ember-view"/>
    <w:basedOn w:val="Normal"/>
    <w:rsid w:val="006A4E9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6A4E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E9E"/>
  </w:style>
  <w:style w:type="character" w:styleId="PageNumber">
    <w:name w:val="page number"/>
    <w:basedOn w:val="DefaultParagraphFont"/>
    <w:uiPriority w:val="99"/>
    <w:semiHidden/>
    <w:unhideWhenUsed/>
    <w:rsid w:val="006A4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876</Words>
  <Characters>5708</Characters>
  <Application>Microsoft Office Word</Application>
  <DocSecurity>0</DocSecurity>
  <Lines>95</Lines>
  <Paragraphs>27</Paragraphs>
  <ScaleCrop>false</ScaleCrop>
  <Company/>
  <LinksUpToDate>false</LinksUpToDate>
  <CharactersWithSpaces>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Mayofis</dc:creator>
  <cp:keywords/>
  <dc:description/>
  <cp:lastModifiedBy>Maria Mayofis</cp:lastModifiedBy>
  <cp:revision>1</cp:revision>
  <dcterms:created xsi:type="dcterms:W3CDTF">2026-03-17T01:28:00Z</dcterms:created>
  <dcterms:modified xsi:type="dcterms:W3CDTF">2026-03-17T01:29:00Z</dcterms:modified>
</cp:coreProperties>
</file>