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54B2" w14:textId="77777777" w:rsidR="0029420F" w:rsidRPr="0029420F" w:rsidRDefault="0029420F" w:rsidP="0029420F">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29420F">
        <w:rPr>
          <w:rFonts w:ascii="Segoe UI" w:eastAsia="Times New Roman" w:hAnsi="Segoe UI" w:cs="Segoe UI"/>
          <w:b/>
          <w:bCs/>
          <w:kern w:val="36"/>
          <w:sz w:val="48"/>
          <w:szCs w:val="48"/>
          <w:bdr w:val="none" w:sz="0" w:space="0" w:color="auto" w:frame="1"/>
          <w14:ligatures w14:val="none"/>
        </w:rPr>
        <w:t>When Journals Regulate AI, What Exactly Are They Regulating?</w:t>
      </w:r>
    </w:p>
    <w:p w14:paraId="7BA67661" w14:textId="02E4F464" w:rsidR="0029420F" w:rsidRPr="0029420F" w:rsidRDefault="0029420F" w:rsidP="0029420F">
      <w:pPr>
        <w:spacing w:after="0" w:line="240" w:lineRule="auto"/>
        <w:textAlignment w:val="baseline"/>
        <w:rPr>
          <w:rFonts w:ascii="Segoe UI" w:eastAsia="Times New Roman" w:hAnsi="Segoe UI" w:cs="Segoe UI"/>
          <w:b/>
          <w:bCs/>
          <w:kern w:val="0"/>
          <w14:ligatures w14:val="none"/>
        </w:rPr>
      </w:pPr>
    </w:p>
    <w:p w14:paraId="0E39D7C1"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February 2, 2026</w:t>
      </w:r>
    </w:p>
    <w:p w14:paraId="6A9A51D1" w14:textId="77777777" w:rsid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p>
    <w:p w14:paraId="5C16B9C3" w14:textId="2480571A" w:rsidR="0029420F" w:rsidRP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r w:rsidRPr="0029420F">
        <w:rPr>
          <w:rFonts w:ascii="Segoe UI" w:eastAsia="Times New Roman" w:hAnsi="Segoe UI" w:cs="Segoe UI"/>
          <w:b/>
          <w:bCs/>
          <w:kern w:val="0"/>
          <w:sz w:val="30"/>
          <w:szCs w:val="30"/>
          <w14:ligatures w14:val="none"/>
        </w:rPr>
        <w:t>When Journals Regulate AI, What Exactly Are They Regulating?</w:t>
      </w:r>
    </w:p>
    <w:p w14:paraId="6EE165F3"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b/>
          <w:bCs/>
          <w:kern w:val="0"/>
          <w:bdr w:val="none" w:sz="0" w:space="0" w:color="auto" w:frame="1"/>
          <w14:ligatures w14:val="none"/>
        </w:rPr>
        <w:t xml:space="preserve">1. </w:t>
      </w:r>
      <w:proofErr w:type="gramStart"/>
      <w:r w:rsidRPr="0029420F">
        <w:rPr>
          <w:rFonts w:ascii="Segoe UI" w:eastAsia="Times New Roman" w:hAnsi="Segoe UI" w:cs="Segoe UI"/>
          <w:b/>
          <w:bCs/>
          <w:kern w:val="0"/>
          <w:bdr w:val="none" w:sz="0" w:space="0" w:color="auto" w:frame="1"/>
          <w14:ligatures w14:val="none"/>
        </w:rPr>
        <w:t>How</w:t>
      </w:r>
      <w:proofErr w:type="gramEnd"/>
      <w:r w:rsidRPr="0029420F">
        <w:rPr>
          <w:rFonts w:ascii="Segoe UI" w:eastAsia="Times New Roman" w:hAnsi="Segoe UI" w:cs="Segoe UI"/>
          <w:b/>
          <w:bCs/>
          <w:kern w:val="0"/>
          <w:bdr w:val="none" w:sz="0" w:space="0" w:color="auto" w:frame="1"/>
          <w14:ligatures w14:val="none"/>
        </w:rPr>
        <w:t xml:space="preserve"> Major Journals Currently Regulate AI Use</w:t>
      </w:r>
    </w:p>
    <w:p w14:paraId="5810FBA2" w14:textId="77777777"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Across leading scientific journals and publishing houses, AI policies display a clear pattern. They concentrate most heavily on a small number of sensitive areas. Meanwhile, they leave large portions of the research process only weakly articulated.</w:t>
      </w:r>
    </w:p>
    <w:p w14:paraId="1E926652"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b/>
          <w:bCs/>
          <w:kern w:val="0"/>
          <w:bdr w:val="none" w:sz="0" w:space="0" w:color="auto" w:frame="1"/>
          <w14:ligatures w14:val="none"/>
        </w:rPr>
        <w:t>One such area</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is</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authorship</w:t>
      </w:r>
      <w:r w:rsidRPr="0029420F">
        <w:rPr>
          <w:rFonts w:ascii="Segoe UI" w:eastAsia="Times New Roman" w:hAnsi="Segoe UI" w:cs="Segoe UI"/>
          <w:kern w:val="0"/>
          <w14:ligatures w14:val="none"/>
        </w:rPr>
        <w:t>. All major publishers state unambiguously that AI systems cannot be listed as authors. Responsibility for accuracy and integrity remains entirely with human authors.</w:t>
      </w:r>
      <w:r w:rsidRPr="0029420F">
        <w:rPr>
          <w:rFonts w:ascii="Segoe UI" w:eastAsia="Times New Roman" w:hAnsi="Segoe UI" w:cs="Segoe UI"/>
          <w:kern w:val="0"/>
          <w:bdr w:val="none" w:sz="0" w:space="0" w:color="auto" w:frame="1"/>
          <w14:ligatures w14:val="none"/>
        </w:rPr>
        <w:t xml:space="preserve"> </w:t>
      </w:r>
    </w:p>
    <w:p w14:paraId="716C23EA"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b/>
          <w:bCs/>
          <w:kern w:val="0"/>
          <w:bdr w:val="none" w:sz="0" w:space="0" w:color="auto" w:frame="1"/>
          <w14:ligatures w14:val="none"/>
        </w:rPr>
        <w:t xml:space="preserve">A second area </w:t>
      </w:r>
      <w:r w:rsidRPr="0029420F">
        <w:rPr>
          <w:rFonts w:ascii="Segoe UI" w:eastAsia="Times New Roman" w:hAnsi="Segoe UI" w:cs="Segoe UI"/>
          <w:kern w:val="0"/>
          <w14:ligatures w14:val="none"/>
        </w:rPr>
        <w:t>is</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visual representation</w:t>
      </w:r>
      <w:r w:rsidRPr="0029420F">
        <w:rPr>
          <w:rFonts w:ascii="Segoe UI" w:eastAsia="Times New Roman" w:hAnsi="Segoe UI" w:cs="Segoe UI"/>
          <w:kern w:val="0"/>
          <w14:ligatures w14:val="none"/>
        </w:rPr>
        <w:t>. Generative AI or AI-assisted tools are broadly restricted from creating or altering figures. This applies to any images that could be interpreted as empirical evidence as well as to graphically represented analytic outputs.</w:t>
      </w:r>
      <w:r w:rsidRPr="0029420F">
        <w:rPr>
          <w:rFonts w:ascii="Segoe UI" w:eastAsia="Times New Roman" w:hAnsi="Segoe UI" w:cs="Segoe UI"/>
          <w:kern w:val="0"/>
          <w:bdr w:val="none" w:sz="0" w:space="0" w:color="auto" w:frame="1"/>
          <w14:ligatures w14:val="none"/>
        </w:rPr>
        <w:t xml:space="preserve"> </w:t>
      </w:r>
    </w:p>
    <w:p w14:paraId="5CAAB6D3"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b/>
          <w:bCs/>
          <w:kern w:val="0"/>
          <w:bdr w:val="none" w:sz="0" w:space="0" w:color="auto" w:frame="1"/>
          <w14:ligatures w14:val="none"/>
        </w:rPr>
        <w:t>A third area</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concerns</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peer review</w:t>
      </w:r>
      <w:r w:rsidRPr="0029420F">
        <w:rPr>
          <w:rFonts w:ascii="Segoe UI" w:eastAsia="Times New Roman" w:hAnsi="Segoe UI" w:cs="Segoe UI"/>
          <w:kern w:val="0"/>
          <w14:ligatures w14:val="none"/>
        </w:rPr>
        <w:t>. Strong prohibitions are placed on uploading manuscripts to external AI systems.</w:t>
      </w:r>
    </w:p>
    <w:p w14:paraId="1C34AF5F"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Beyond these zones, regulatory clarity diminishes.</w:t>
      </w:r>
      <w:r w:rsidRPr="0029420F">
        <w:rPr>
          <w:rFonts w:ascii="Segoe UI" w:eastAsia="Times New Roman" w:hAnsi="Segoe UI" w:cs="Segoe UI"/>
          <w:kern w:val="0"/>
          <w:bdr w:val="none" w:sz="0" w:space="0" w:color="auto" w:frame="1"/>
          <w14:ligatures w14:val="none"/>
        </w:rPr>
        <w:t xml:space="preserve"> </w:t>
      </w:r>
    </w:p>
    <w:p w14:paraId="2C388683" w14:textId="77777777"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Here is a short overview of AI policies in the major bioscience journals.</w:t>
      </w:r>
    </w:p>
    <w:p w14:paraId="0F8D0F82"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hyperlink r:id="rId7" w:tgtFrame="_self" w:history="1">
        <w:r w:rsidRPr="0029420F">
          <w:rPr>
            <w:rFonts w:ascii="Segoe UI" w:eastAsia="Times New Roman" w:hAnsi="Segoe UI" w:cs="Segoe UI"/>
            <w:b/>
            <w:bCs/>
            <w:i/>
            <w:iCs/>
            <w:color w:val="0A66C2"/>
            <w:kern w:val="0"/>
            <w:u w:val="single"/>
            <w:bdr w:val="none" w:sz="0" w:space="0" w:color="auto" w:frame="1"/>
            <w14:ligatures w14:val="none"/>
          </w:rPr>
          <w:t>Science</w:t>
        </w:r>
      </w:hyperlink>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adopts a restrictive posture. It is oriented toward preserving originality and control over visible scholarly outputs. Its publicly available policy emphasizes caution in the use of generative AI. It imposes tight constraints on AI-generated images, allowing exceptions only with explicit editorial permission.</w:t>
      </w:r>
    </w:p>
    <w:p w14:paraId="31989F61"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hyperlink r:id="rId8" w:tgtFrame="_self" w:history="1">
        <w:r w:rsidRPr="0029420F">
          <w:rPr>
            <w:rFonts w:ascii="Segoe UI" w:eastAsia="Times New Roman" w:hAnsi="Segoe UI" w:cs="Segoe UI"/>
            <w:b/>
            <w:bCs/>
            <w:i/>
            <w:iCs/>
            <w:color w:val="0A66C2"/>
            <w:kern w:val="0"/>
            <w:u w:val="single"/>
            <w:bdr w:val="none" w:sz="0" w:space="0" w:color="auto" w:frame="1"/>
            <w14:ligatures w14:val="none"/>
          </w:rPr>
          <w:t>PNAS</w:t>
        </w:r>
      </w:hyperlink>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articulates one of the most explicit disclosure regimes. Any use of generative AI must be disclosed. This includes drafting or editing text. Authors are also required to identify the specific model employed. AI-generated images and graphics are excluded unless the AI method itself is the object of study. The policy prioritizes evaluability and traceability to reduce ambiguity for reviewers.</w:t>
      </w:r>
    </w:p>
    <w:p w14:paraId="47272C12"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The</w:t>
      </w:r>
      <w:r w:rsidRPr="0029420F">
        <w:rPr>
          <w:rFonts w:ascii="Segoe UI" w:eastAsia="Times New Roman" w:hAnsi="Segoe UI" w:cs="Segoe UI"/>
          <w:kern w:val="0"/>
          <w:bdr w:val="none" w:sz="0" w:space="0" w:color="auto" w:frame="1"/>
          <w14:ligatures w14:val="none"/>
        </w:rPr>
        <w:t xml:space="preserve"> </w:t>
      </w:r>
      <w:hyperlink r:id="rId9" w:tgtFrame="_self" w:history="1">
        <w:r w:rsidRPr="0029420F">
          <w:rPr>
            <w:rFonts w:ascii="Segoe UI" w:eastAsia="Times New Roman" w:hAnsi="Segoe UI" w:cs="Segoe UI"/>
            <w:b/>
            <w:bCs/>
            <w:i/>
            <w:iCs/>
            <w:color w:val="0A66C2"/>
            <w:kern w:val="0"/>
            <w:u w:val="single"/>
            <w:bdr w:val="none" w:sz="0" w:space="0" w:color="auto" w:frame="1"/>
            <w14:ligatures w14:val="none"/>
          </w:rPr>
          <w:t>Nature</w:t>
        </w:r>
      </w:hyperlink>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 xml:space="preserve">portfolio introduces a functional distinction that recurs across several publishers. Substantive AI use must be documented in the Methods section or an equivalent location. However, AI-assisted copy editing for grammar and readability is </w:t>
      </w:r>
      <w:r w:rsidRPr="0029420F">
        <w:rPr>
          <w:rFonts w:ascii="Segoe UI" w:eastAsia="Times New Roman" w:hAnsi="Segoe UI" w:cs="Segoe UI"/>
          <w:kern w:val="0"/>
          <w14:ligatures w14:val="none"/>
        </w:rPr>
        <w:lastRenderedPageBreak/>
        <w:t>explicitly exempt from disclosure. AI-generated images are broadly disallowed in research articles. This framework separates linguistic refinement from representational and interpretive intervention.</w:t>
      </w:r>
    </w:p>
    <w:p w14:paraId="44D29497"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hyperlink r:id="rId10" w:tgtFrame="_self" w:history="1">
        <w:r w:rsidRPr="0029420F">
          <w:rPr>
            <w:rFonts w:ascii="Segoe UI" w:eastAsia="Times New Roman" w:hAnsi="Segoe UI" w:cs="Segoe UI"/>
            <w:b/>
            <w:bCs/>
            <w:i/>
            <w:iCs/>
            <w:color w:val="0A66C2"/>
            <w:kern w:val="0"/>
            <w:u w:val="single"/>
            <w:bdr w:val="none" w:sz="0" w:space="0" w:color="auto" w:frame="1"/>
            <w14:ligatures w14:val="none"/>
          </w:rPr>
          <w:t>Annual Reviews</w:t>
        </w:r>
      </w:hyperlink>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and [</w:t>
      </w:r>
      <w:r w:rsidRPr="0029420F">
        <w:rPr>
          <w:rFonts w:ascii="Segoe UI" w:eastAsia="Times New Roman" w:hAnsi="Segoe UI" w:cs="Segoe UI"/>
          <w:i/>
          <w:iCs/>
          <w:kern w:val="0"/>
          <w:bdr w:val="none" w:sz="0" w:space="0" w:color="auto" w:frame="1"/>
          <w14:ligatures w14:val="none"/>
        </w:rPr>
        <w:t>Oxford University Press</w:t>
      </w:r>
      <w:r w:rsidRPr="0029420F">
        <w:rPr>
          <w:rFonts w:ascii="Segoe UI" w:eastAsia="Times New Roman" w:hAnsi="Segoe UI" w:cs="Segoe UI"/>
          <w:kern w:val="0"/>
          <w14:ligatures w14:val="none"/>
        </w:rPr>
        <w:t>] affiliated journals, including</w:t>
      </w:r>
      <w:r w:rsidRPr="0029420F">
        <w:rPr>
          <w:rFonts w:ascii="Segoe UI" w:eastAsia="Times New Roman" w:hAnsi="Segoe UI" w:cs="Segoe UI"/>
          <w:kern w:val="0"/>
          <w:bdr w:val="none" w:sz="0" w:space="0" w:color="auto" w:frame="1"/>
          <w14:ligatures w14:val="none"/>
        </w:rPr>
        <w:t xml:space="preserve"> </w:t>
      </w:r>
      <w:hyperlink r:id="rId11" w:tgtFrame="_self" w:history="1">
        <w:proofErr w:type="spellStart"/>
        <w:r w:rsidRPr="0029420F">
          <w:rPr>
            <w:rFonts w:ascii="Segoe UI" w:eastAsia="Times New Roman" w:hAnsi="Segoe UI" w:cs="Segoe UI"/>
            <w:b/>
            <w:bCs/>
            <w:i/>
            <w:iCs/>
            <w:color w:val="0A66C2"/>
            <w:kern w:val="0"/>
            <w:u w:val="single"/>
            <w:bdr w:val="none" w:sz="0" w:space="0" w:color="auto" w:frame="1"/>
            <w14:ligatures w14:val="none"/>
          </w:rPr>
          <w:t>BioScience</w:t>
        </w:r>
        <w:proofErr w:type="spellEnd"/>
      </w:hyperlink>
      <w:r w:rsidRPr="0029420F">
        <w:rPr>
          <w:rFonts w:ascii="Segoe UI" w:eastAsia="Times New Roman" w:hAnsi="Segoe UI" w:cs="Segoe UI"/>
          <w:kern w:val="0"/>
          <w14:ligatures w14:val="none"/>
        </w:rPr>
        <w:t>, rely more heavily on editorial discretion. Their guidance emphasizes expert authorship and consultation with editors. They require prior permission when AI-generated material is involved, particularly for figures or substantial content. These policies articulate principles rather than exhaustive procedural rules.</w:t>
      </w:r>
    </w:p>
    <w:p w14:paraId="5D9B4DD4"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Within this landscape, the</w:t>
      </w:r>
      <w:r w:rsidRPr="0029420F">
        <w:rPr>
          <w:rFonts w:ascii="Segoe UI" w:eastAsia="Times New Roman" w:hAnsi="Segoe UI" w:cs="Segoe UI"/>
          <w:kern w:val="0"/>
          <w:bdr w:val="none" w:sz="0" w:space="0" w:color="auto" w:frame="1"/>
          <w14:ligatures w14:val="none"/>
        </w:rPr>
        <w:t xml:space="preserve"> </w:t>
      </w:r>
      <w:hyperlink r:id="rId12" w:tgtFrame="_self" w:history="1">
        <w:r w:rsidRPr="0029420F">
          <w:rPr>
            <w:rFonts w:ascii="Segoe UI" w:eastAsia="Times New Roman" w:hAnsi="Segoe UI" w:cs="Segoe UI"/>
            <w:b/>
            <w:bCs/>
            <w:i/>
            <w:iCs/>
            <w:color w:val="0A66C2"/>
            <w:kern w:val="0"/>
            <w:u w:val="single"/>
            <w:bdr w:val="none" w:sz="0" w:space="0" w:color="auto" w:frame="1"/>
            <w14:ligatures w14:val="none"/>
          </w:rPr>
          <w:t>Cell</w:t>
        </w:r>
      </w:hyperlink>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policy on figures and images is especially precise. It categorically prohibits generative AI from creating or altering images in submitted manuscripts. It also forbids using AI to produce graphical abstracts. At the same time, it explicitly permits AI use when it is part of the research design or methods. This includes uses in biomedical imaging, provided the work is described in a reproducible manner with full technical detail. Cover art is treated as a special case requiring permission and attribution. The policy draws a clear distinction between analytical instrumentation and representational authority. It is highly specific regarding images but largely silent regarding AI use in exploratory reasoning or conceptual structuring.</w:t>
      </w:r>
    </w:p>
    <w:p w14:paraId="2A05AA37"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Taken together, these policies</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regulate AI most intensely at points where scientific claims become publicly visible</w:t>
      </w:r>
      <w:r w:rsidRPr="0029420F">
        <w:rPr>
          <w:rFonts w:ascii="Segoe UI" w:eastAsia="Times New Roman" w:hAnsi="Segoe UI" w:cs="Segoe UI"/>
          <w:kern w:val="0"/>
          <w14:ligatures w14:val="none"/>
        </w:rPr>
        <w:t>.</w:t>
      </w:r>
    </w:p>
    <w:p w14:paraId="1D820FD8" w14:textId="77777777" w:rsid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p>
    <w:p w14:paraId="365FBE8C" w14:textId="3D41B9CF" w:rsidR="0029420F" w:rsidRP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r w:rsidRPr="0029420F">
        <w:rPr>
          <w:rFonts w:ascii="Segoe UI" w:eastAsia="Times New Roman" w:hAnsi="Segoe UI" w:cs="Segoe UI"/>
          <w:b/>
          <w:bCs/>
          <w:kern w:val="0"/>
          <w:sz w:val="30"/>
          <w:szCs w:val="30"/>
          <w14:ligatures w14:val="none"/>
        </w:rPr>
        <w:t>2. Wiley as a Structurally Different Case</w:t>
      </w:r>
    </w:p>
    <w:p w14:paraId="121DCE0A"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hyperlink r:id="rId13" w:tgtFrame="_self" w:history="1">
        <w:r w:rsidRPr="0029420F">
          <w:rPr>
            <w:rFonts w:ascii="Segoe UI" w:eastAsia="Times New Roman" w:hAnsi="Segoe UI" w:cs="Segoe UI"/>
            <w:b/>
            <w:bCs/>
            <w:i/>
            <w:iCs/>
            <w:color w:val="0A66C2"/>
            <w:kern w:val="0"/>
            <w:u w:val="single"/>
            <w:bdr w:val="none" w:sz="0" w:space="0" w:color="auto" w:frame="1"/>
            <w14:ligatures w14:val="none"/>
          </w:rPr>
          <w:t>Wiley</w:t>
        </w:r>
      </w:hyperlink>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departs from this pattern in both scope and conceptual framing. It does not concentrate primarily on authorship, images, and manuscript preparation. Instead, its policy explicitly addresses AI use across the full research lifecycle. The document discusses AI-assisted study design and data collection. It covers qualitative and quantitative analysis, literature screening, and code development. It also includes modeling, data pipelines, and visualization.</w:t>
      </w:r>
    </w:p>
    <w:p w14:paraId="1C760C8F" w14:textId="77777777"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Within this framework, AI use is treated as a legitimate component of research practice. It must be properly documented and made evaluable. Disclosure functions as methodological transparency rather than as a compliance ritual. The location of the disclosure depends on the epistemic role the AI plays. Drafting and editing support is disclosed in the acknowledgements. AI involvement in study design, data collection, or analysis is described in the Methods section. AI-assisted visual content is documented in figure captions. The guiding principle is consistency. Disclosure should appear where a reader would naturally expect information about the tools shaping the results.</w:t>
      </w:r>
    </w:p>
    <w:p w14:paraId="77CC82E4"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b/>
          <w:bCs/>
          <w:kern w:val="0"/>
          <w:bdr w:val="none" w:sz="0" w:space="0" w:color="auto" w:frame="1"/>
          <w14:ligatures w14:val="none"/>
        </w:rPr>
        <w:t xml:space="preserve">The policy also explicitly legitimizes reflective judgment. </w:t>
      </w:r>
      <w:r w:rsidRPr="0029420F">
        <w:rPr>
          <w:rFonts w:ascii="Segoe UI" w:eastAsia="Times New Roman" w:hAnsi="Segoe UI" w:cs="Segoe UI"/>
          <w:kern w:val="0"/>
          <w14:ligatures w14:val="none"/>
        </w:rPr>
        <w:t xml:space="preserve">Authors are encouraged to consider when AI meaningfully supports their work. They should evaluate when </w:t>
      </w:r>
      <w:r w:rsidRPr="0029420F">
        <w:rPr>
          <w:rFonts w:ascii="Segoe UI" w:eastAsia="Times New Roman" w:hAnsi="Segoe UI" w:cs="Segoe UI"/>
          <w:kern w:val="0"/>
          <w14:ligatures w14:val="none"/>
        </w:rPr>
        <w:lastRenderedPageBreak/>
        <w:t>verification costs outweigh benefits. This framing creates space for acknowledging partial or abandoned uses of AI as part of responsible research practice. AI appears here as a research instrument embedded in workflows, not as a marginal aid confined to surface-level editing.</w:t>
      </w:r>
    </w:p>
    <w:p w14:paraId="0FD080DA" w14:textId="77777777" w:rsidR="0029420F" w:rsidRDefault="0029420F" w:rsidP="0029420F">
      <w:pPr>
        <w:spacing w:after="240" w:line="240" w:lineRule="auto"/>
        <w:textAlignment w:val="baseline"/>
        <w:outlineLvl w:val="2"/>
        <w:rPr>
          <w:rFonts w:ascii="Segoe UI" w:eastAsia="Times New Roman" w:hAnsi="Segoe UI" w:cs="Segoe UI"/>
          <w:kern w:val="0"/>
          <w14:ligatures w14:val="none"/>
        </w:rPr>
      </w:pPr>
    </w:p>
    <w:p w14:paraId="0563B28E" w14:textId="21A69C8D" w:rsidR="0029420F" w:rsidRP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r w:rsidRPr="0029420F">
        <w:rPr>
          <w:rFonts w:ascii="Segoe UI" w:eastAsia="Times New Roman" w:hAnsi="Segoe UI" w:cs="Segoe UI"/>
          <w:b/>
          <w:bCs/>
          <w:kern w:val="0"/>
          <w:sz w:val="30"/>
          <w:szCs w:val="30"/>
          <w14:ligatures w14:val="none"/>
        </w:rPr>
        <w:t>3. Research Use and Policy Tension</w:t>
      </w:r>
    </w:p>
    <w:p w14:paraId="5CC5957A" w14:textId="77777777"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Many journal policies frame generative AI as a purely technical aid, yet it has become far more than a simple digital assistant. Empirical studies show that AI is now a deeply integrated part of the research and writing process. It functions as a core instrument that shapes how scientists think, analyze, and communicate their findings.</w:t>
      </w:r>
    </w:p>
    <w:p w14:paraId="23044363"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A large survey study published in</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i/>
          <w:iCs/>
          <w:kern w:val="0"/>
          <w:bdr w:val="none" w:sz="0" w:space="0" w:color="auto" w:frame="1"/>
          <w14:ligatures w14:val="none"/>
        </w:rPr>
        <w:t>Technology in Society</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(Andersen et al., 2025) reports that researchers use generative AI in a range of activities. These include idea generation, literature work, data analysis, and writing. The study does not claim uniform acceptance. Instead, it documents broad use combined with ethical hesitation. There is uncertainty about appropriate boundaries and ongoing debate about disclosure. Its value lies in demonstrating that AI use extends well beyond surface-level language editing.</w:t>
      </w:r>
    </w:p>
    <w:p w14:paraId="32771493" w14:textId="77777777" w:rsid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Independent confirmation comes from</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i/>
          <w:iCs/>
          <w:kern w:val="0"/>
          <w:bdr w:val="none" w:sz="0" w:space="0" w:color="auto" w:frame="1"/>
          <w14:ligatures w14:val="none"/>
        </w:rPr>
        <w:t>Wiley’s</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 xml:space="preserve">global survey of researchers (Wiley 2025). </w:t>
      </w:r>
    </w:p>
    <w:p w14:paraId="16E98A0A" w14:textId="77777777" w:rsidR="0029420F" w:rsidRDefault="0029420F" w:rsidP="0029420F">
      <w:pPr>
        <w:spacing w:after="0" w:line="240" w:lineRule="auto"/>
        <w:textAlignment w:val="baseline"/>
        <w:rPr>
          <w:rFonts w:ascii="Segoe UI" w:eastAsia="Times New Roman" w:hAnsi="Segoe UI" w:cs="Segoe UI"/>
          <w:kern w:val="0"/>
          <w14:ligatures w14:val="none"/>
        </w:rPr>
      </w:pPr>
    </w:p>
    <w:p w14:paraId="7599ED2D" w14:textId="1D5D1489"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This report shows a sharp rise in AI adoption for research and publication activities. A large majority of respondents now use AI tools. Simultaneously, the report emphasizes persistent concern about hallucinations and factual inaccuracies. This is especially true when AI is applied to analytical or interpretive tasks. Increased use is thus presented as pragmatic and productivity-driven rather than as a sign of epistemic trust.</w:t>
      </w:r>
    </w:p>
    <w:p w14:paraId="68B78898" w14:textId="77777777" w:rsidR="0029420F" w:rsidRDefault="0029420F" w:rsidP="0029420F">
      <w:pPr>
        <w:spacing w:after="480" w:line="240" w:lineRule="auto"/>
        <w:textAlignment w:val="baseline"/>
        <w:rPr>
          <w:rFonts w:ascii="Segoe UI" w:eastAsia="Times New Roman" w:hAnsi="Segoe UI" w:cs="Segoe UI"/>
          <w:kern w:val="0"/>
          <w14:ligatures w14:val="none"/>
        </w:rPr>
      </w:pPr>
    </w:p>
    <w:p w14:paraId="2D2CCABD" w14:textId="186152F0"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 xml:space="preserve">Finally, a recent analysis (Wang &amp; Gong, 2026) examines AI policies in academic peer review across hundreds of journals. The authors found that most official rules are narrow, generally restricting AI to basic "helper" tasks like grammar checks or finding reviewers. However, the study highlights a critical gap: while official policies remain cautious and focused on risk, the actual use of AI in peer review is growing rapidly. This suggests that journal rules are currently a step behind the reality of how scientists are </w:t>
      </w:r>
      <w:r w:rsidRPr="0029420F">
        <w:rPr>
          <w:rFonts w:ascii="Segoe UI" w:eastAsia="Times New Roman" w:hAnsi="Segoe UI" w:cs="Segoe UI"/>
          <w:kern w:val="0"/>
          <w14:ligatures w14:val="none"/>
        </w:rPr>
        <w:t>applying</w:t>
      </w:r>
      <w:r w:rsidRPr="0029420F">
        <w:rPr>
          <w:rFonts w:ascii="Segoe UI" w:eastAsia="Times New Roman" w:hAnsi="Segoe UI" w:cs="Segoe UI"/>
          <w:kern w:val="0"/>
          <w14:ligatures w14:val="none"/>
        </w:rPr>
        <w:t xml:space="preserve"> AI to more complex evaluative work.</w:t>
      </w:r>
    </w:p>
    <w:p w14:paraId="2A6A8403"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 xml:space="preserve">Taken together, these three sources support a robust conclusion. AI use is already widespread in activities that precede and shape publication. Yet concern about accuracy </w:t>
      </w:r>
      <w:r w:rsidRPr="0029420F">
        <w:rPr>
          <w:rFonts w:ascii="Segoe UI" w:eastAsia="Times New Roman" w:hAnsi="Segoe UI" w:cs="Segoe UI"/>
          <w:kern w:val="0"/>
          <w14:ligatures w14:val="none"/>
        </w:rPr>
        <w:lastRenderedPageBreak/>
        <w:t>and responsibility remains. This explains why</w:t>
      </w:r>
      <w:r w:rsidRPr="0029420F">
        <w:rPr>
          <w:rFonts w:ascii="Segoe UI" w:eastAsia="Times New Roman" w:hAnsi="Segoe UI" w:cs="Segoe UI"/>
          <w:b/>
          <w:bCs/>
          <w:kern w:val="0"/>
          <w:bdr w:val="none" w:sz="0" w:space="0" w:color="auto" w:frame="1"/>
          <w14:ligatures w14:val="none"/>
        </w:rPr>
        <w:t xml:space="preserve"> journal policies regulate visible outputs with precision but struggle to describe intermediate research practices.</w:t>
      </w:r>
    </w:p>
    <w:p w14:paraId="7100AF44" w14:textId="77777777" w:rsid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p>
    <w:p w14:paraId="53572847" w14:textId="64000D07" w:rsidR="0029420F" w:rsidRP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r w:rsidRPr="0029420F">
        <w:rPr>
          <w:rFonts w:ascii="Segoe UI" w:eastAsia="Times New Roman" w:hAnsi="Segoe UI" w:cs="Segoe UI"/>
          <w:b/>
          <w:bCs/>
          <w:kern w:val="0"/>
          <w:sz w:val="30"/>
          <w:szCs w:val="30"/>
          <w14:ligatures w14:val="none"/>
        </w:rPr>
        <w:t>4. Implicit Assumptions and Lessons Drawn from Comparison</w:t>
      </w:r>
    </w:p>
    <w:p w14:paraId="51B106AE" w14:textId="77777777"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A comparative reading of these policies suggests a shared, implicit stance taken by journal editorial offices:</w:t>
      </w:r>
    </w:p>
    <w:p w14:paraId="0F5A27B7" w14:textId="77777777" w:rsidR="0029420F" w:rsidRPr="0029420F" w:rsidRDefault="0029420F" w:rsidP="0029420F">
      <w:pPr>
        <w:numPr>
          <w:ilvl w:val="0"/>
          <w:numId w:val="1"/>
        </w:numPr>
        <w:spacing w:after="12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Reasoning takes place prior to writing or visual representation.</w:t>
      </w:r>
    </w:p>
    <w:p w14:paraId="10B25D8B" w14:textId="77777777" w:rsidR="0029420F" w:rsidRPr="0029420F" w:rsidRDefault="0029420F" w:rsidP="0029420F">
      <w:pPr>
        <w:numPr>
          <w:ilvl w:val="0"/>
          <w:numId w:val="1"/>
        </w:numPr>
        <w:spacing w:after="12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Language and form serve primarily to record results that have already been produced.</w:t>
      </w:r>
    </w:p>
    <w:p w14:paraId="2B6ABBA4" w14:textId="77777777" w:rsidR="0029420F" w:rsidRDefault="0029420F" w:rsidP="0029420F">
      <w:pPr>
        <w:spacing w:after="0" w:line="240" w:lineRule="auto"/>
        <w:textAlignment w:val="baseline"/>
        <w:rPr>
          <w:rFonts w:ascii="Segoe UI" w:eastAsia="Times New Roman" w:hAnsi="Segoe UI" w:cs="Segoe UI"/>
          <w:kern w:val="0"/>
          <w14:ligatures w14:val="none"/>
        </w:rPr>
      </w:pPr>
    </w:p>
    <w:p w14:paraId="25BB4A9B" w14:textId="38AD5380"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These assumptions explain why AI-assisted</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language polishing is treated as neutral</w:t>
      </w:r>
      <w:r w:rsidRPr="0029420F">
        <w:rPr>
          <w:rFonts w:ascii="Segoe UI" w:eastAsia="Times New Roman" w:hAnsi="Segoe UI" w:cs="Segoe UI"/>
          <w:kern w:val="0"/>
          <w14:ligatures w14:val="none"/>
        </w:rPr>
        <w:t>.</w:t>
      </w:r>
      <w:r>
        <w:rPr>
          <w:rFonts w:ascii="Segoe UI" w:eastAsia="Times New Roman" w:hAnsi="Segoe UI" w:cs="Segoe UI"/>
          <w:kern w:val="0"/>
          <w14:ligatures w14:val="none"/>
        </w:rPr>
        <w:t xml:space="preserve"> </w:t>
      </w:r>
      <w:proofErr w:type="gramStart"/>
      <w:r w:rsidRPr="0029420F">
        <w:rPr>
          <w:rFonts w:ascii="Segoe UI" w:eastAsia="Times New Roman" w:hAnsi="Segoe UI" w:cs="Segoe UI"/>
          <w:kern w:val="0"/>
          <w14:ligatures w14:val="none"/>
        </w:rPr>
        <w:t>They</w:t>
      </w:r>
      <w:proofErr w:type="gramEnd"/>
      <w:r w:rsidRPr="0029420F">
        <w:rPr>
          <w:rFonts w:ascii="Segoe UI" w:eastAsia="Times New Roman" w:hAnsi="Segoe UI" w:cs="Segoe UI"/>
          <w:kern w:val="0"/>
          <w14:ligatures w14:val="none"/>
        </w:rPr>
        <w:t xml:space="preserve"> also explain why AI involvement in structuring arguments or synthesizing material is approached with caution. Furthermore, they explain why policies focus so intensely on figures, and other visible outputs. These visuals are the official record of study results where the “proof” is most visible. Because the scientific community relies so heavily on these images for evidence, they are also the areas where a mistake or an AI-driven change can most easily lead to a misunderstanding.</w:t>
      </w:r>
    </w:p>
    <w:p w14:paraId="1B46E2E6" w14:textId="77777777" w:rsidR="0029420F" w:rsidRDefault="0029420F" w:rsidP="0029420F">
      <w:pPr>
        <w:spacing w:after="0" w:line="240" w:lineRule="auto"/>
        <w:textAlignment w:val="baseline"/>
        <w:rPr>
          <w:rFonts w:ascii="Segoe UI" w:eastAsia="Times New Roman" w:hAnsi="Segoe UI" w:cs="Segoe UI"/>
          <w:kern w:val="0"/>
          <w14:ligatures w14:val="none"/>
        </w:rPr>
      </w:pPr>
    </w:p>
    <w:p w14:paraId="1D29DD20" w14:textId="6C6935EE"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However, the articles mentioned in section 3 point to such an understanding of research practice that is very remote from its representation in current journal policies.</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Scientific reasoning unfolds through iterative engagement with language and categorization.</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Decisions about how data are grouped or how results are framed actively shape interpretation.</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Writing and structuring are</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not merely downstream activities. They are among the</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b/>
          <w:bCs/>
          <w:kern w:val="0"/>
          <w:bdr w:val="none" w:sz="0" w:space="0" w:color="auto" w:frame="1"/>
          <w14:ligatures w14:val="none"/>
        </w:rPr>
        <w:t xml:space="preserve">locations where reasoning </w:t>
      </w:r>
      <w:proofErr w:type="gramStart"/>
      <w:r w:rsidRPr="0029420F">
        <w:rPr>
          <w:rFonts w:ascii="Segoe UI" w:eastAsia="Times New Roman" w:hAnsi="Segoe UI" w:cs="Segoe UI"/>
          <w:b/>
          <w:bCs/>
          <w:kern w:val="0"/>
          <w:bdr w:val="none" w:sz="0" w:space="0" w:color="auto" w:frame="1"/>
          <w14:ligatures w14:val="none"/>
        </w:rPr>
        <w:t>actually takes</w:t>
      </w:r>
      <w:proofErr w:type="gramEnd"/>
      <w:r w:rsidRPr="0029420F">
        <w:rPr>
          <w:rFonts w:ascii="Segoe UI" w:eastAsia="Times New Roman" w:hAnsi="Segoe UI" w:cs="Segoe UI"/>
          <w:b/>
          <w:bCs/>
          <w:kern w:val="0"/>
          <w:bdr w:val="none" w:sz="0" w:space="0" w:color="auto" w:frame="1"/>
          <w14:ligatures w14:val="none"/>
        </w:rPr>
        <w:t xml:space="preserve"> place</w:t>
      </w:r>
      <w:r w:rsidRPr="0029420F">
        <w:rPr>
          <w:rFonts w:ascii="Segoe UI" w:eastAsia="Times New Roman" w:hAnsi="Segoe UI" w:cs="Segoe UI"/>
          <w:kern w:val="0"/>
          <w14:ligatures w14:val="none"/>
        </w:rPr>
        <w:t>.</w:t>
      </w:r>
    </w:p>
    <w:p w14:paraId="6A14CCAB"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The gap between policy design and research practice is particularly visible in bioscience. Bioscience research combines data-intensive workflows with a heavy reliance on visual evidence. These features make journals especially attentive to AI use in figures and methods.</w:t>
      </w:r>
      <w:r w:rsidRPr="0029420F">
        <w:rPr>
          <w:rFonts w:ascii="Segoe UI" w:eastAsia="Times New Roman" w:hAnsi="Segoe UI" w:cs="Segoe UI"/>
          <w:kern w:val="0"/>
          <w:bdr w:val="none" w:sz="0" w:space="0" w:color="auto" w:frame="1"/>
          <w14:ligatures w14:val="none"/>
        </w:rPr>
        <w:t xml:space="preserve"> </w:t>
      </w:r>
    </w:p>
    <w:p w14:paraId="5C27B224" w14:textId="77777777" w:rsidR="0029420F" w:rsidRDefault="0029420F" w:rsidP="0029420F">
      <w:pPr>
        <w:spacing w:after="480" w:line="240" w:lineRule="auto"/>
        <w:textAlignment w:val="baseline"/>
        <w:rPr>
          <w:rFonts w:ascii="Segoe UI" w:eastAsia="Times New Roman" w:hAnsi="Segoe UI" w:cs="Segoe UI"/>
          <w:kern w:val="0"/>
          <w14:ligatures w14:val="none"/>
        </w:rPr>
      </w:pPr>
    </w:p>
    <w:p w14:paraId="3AFCB73B" w14:textId="097B5990"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At the same time, bioscience research increasingly relies on large-scale data processing and exploratory synthesis. These are precisely the stages of research that many policies describe only indirectly or not at all.</w:t>
      </w:r>
    </w:p>
    <w:p w14:paraId="0C0E169F"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This comparison suggests a broader lesson:</w:t>
      </w:r>
      <w:r w:rsidRPr="0029420F">
        <w:rPr>
          <w:rFonts w:ascii="Segoe UI" w:eastAsia="Times New Roman" w:hAnsi="Segoe UI" w:cs="Segoe UI"/>
          <w:kern w:val="0"/>
          <w:bdr w:val="none" w:sz="0" w:space="0" w:color="auto" w:frame="1"/>
          <w14:ligatures w14:val="none"/>
        </w:rPr>
        <w:t xml:space="preserve"> </w:t>
      </w:r>
    </w:p>
    <w:p w14:paraId="1386907B" w14:textId="77777777" w:rsidR="0029420F" w:rsidRPr="0029420F" w:rsidRDefault="0029420F" w:rsidP="0029420F">
      <w:pPr>
        <w:numPr>
          <w:ilvl w:val="0"/>
          <w:numId w:val="2"/>
        </w:num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lastRenderedPageBreak/>
        <w:t>Policies that focus only on restricting AI at points of public visibility may protect representational integrity. However, they struggle to describe how AI participates in intermediate stages of reasoning.</w:t>
      </w:r>
      <w:r w:rsidRPr="0029420F">
        <w:rPr>
          <w:rFonts w:ascii="Segoe UI" w:eastAsia="Times New Roman" w:hAnsi="Segoe UI" w:cs="Segoe UI"/>
          <w:kern w:val="0"/>
          <w:bdr w:val="none" w:sz="0" w:space="0" w:color="auto" w:frame="1"/>
          <w14:ligatures w14:val="none"/>
        </w:rPr>
        <w:t xml:space="preserve"> </w:t>
      </w:r>
    </w:p>
    <w:p w14:paraId="2C61736F" w14:textId="77777777" w:rsidR="0029420F" w:rsidRPr="0029420F" w:rsidRDefault="0029420F" w:rsidP="0029420F">
      <w:pPr>
        <w:numPr>
          <w:ilvl w:val="0"/>
          <w:numId w:val="2"/>
        </w:num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Policies that articulate AI use in relation to methodological roles offer a more effective regulatory framework.</w:t>
      </w:r>
      <w:r w:rsidRPr="0029420F">
        <w:rPr>
          <w:rFonts w:ascii="Segoe UI" w:eastAsia="Times New Roman" w:hAnsi="Segoe UI" w:cs="Segoe UI"/>
          <w:kern w:val="0"/>
          <w:bdr w:val="none" w:sz="0" w:space="0" w:color="auto" w:frame="1"/>
          <w14:ligatures w14:val="none"/>
        </w:rPr>
        <w:t xml:space="preserve"> </w:t>
      </w:r>
    </w:p>
    <w:p w14:paraId="31963E5E" w14:textId="77777777" w:rsidR="0029420F" w:rsidRPr="0029420F" w:rsidRDefault="0029420F" w:rsidP="0029420F">
      <w:pPr>
        <w:spacing w:after="48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The difference lies in conceptual clarity about where reasoning occurs and how it can be supported without compromising scientific responsibility.</w:t>
      </w:r>
    </w:p>
    <w:p w14:paraId="6BE37C34" w14:textId="77777777" w:rsidR="0029420F" w:rsidRPr="0029420F" w:rsidRDefault="0029420F" w:rsidP="0029420F">
      <w:pPr>
        <w:spacing w:after="240" w:line="240" w:lineRule="auto"/>
        <w:textAlignment w:val="baseline"/>
        <w:outlineLvl w:val="2"/>
        <w:rPr>
          <w:rFonts w:ascii="Segoe UI" w:eastAsia="Times New Roman" w:hAnsi="Segoe UI" w:cs="Segoe UI"/>
          <w:b/>
          <w:bCs/>
          <w:kern w:val="0"/>
          <w:sz w:val="30"/>
          <w:szCs w:val="30"/>
          <w14:ligatures w14:val="none"/>
        </w:rPr>
      </w:pPr>
      <w:r w:rsidRPr="0029420F">
        <w:rPr>
          <w:rFonts w:ascii="Segoe UI" w:eastAsia="Times New Roman" w:hAnsi="Segoe UI" w:cs="Segoe UI"/>
          <w:b/>
          <w:bCs/>
          <w:kern w:val="0"/>
          <w:sz w:val="30"/>
          <w:szCs w:val="30"/>
          <w14:ligatures w14:val="none"/>
        </w:rPr>
        <w:t>References</w:t>
      </w:r>
    </w:p>
    <w:p w14:paraId="1120D1DA"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 xml:space="preserve">Andersen, Jens Peter; Degn, Lise; </w:t>
      </w:r>
      <w:proofErr w:type="spellStart"/>
      <w:r w:rsidRPr="0029420F">
        <w:rPr>
          <w:rFonts w:ascii="Segoe UI" w:eastAsia="Times New Roman" w:hAnsi="Segoe UI" w:cs="Segoe UI"/>
          <w:kern w:val="0"/>
          <w14:ligatures w14:val="none"/>
        </w:rPr>
        <w:t>Fishberg</w:t>
      </w:r>
      <w:proofErr w:type="spellEnd"/>
      <w:r w:rsidRPr="0029420F">
        <w:rPr>
          <w:rFonts w:ascii="Segoe UI" w:eastAsia="Times New Roman" w:hAnsi="Segoe UI" w:cs="Segoe UI"/>
          <w:kern w:val="0"/>
          <w14:ligatures w14:val="none"/>
        </w:rPr>
        <w:t xml:space="preserve">, Rachel; Graversen, Ebbe Krogh; Horbach, Serge P. J. M.; </w:t>
      </w:r>
      <w:proofErr w:type="spellStart"/>
      <w:r w:rsidRPr="0029420F">
        <w:rPr>
          <w:rFonts w:ascii="Segoe UI" w:eastAsia="Times New Roman" w:hAnsi="Segoe UI" w:cs="Segoe UI"/>
          <w:kern w:val="0"/>
          <w14:ligatures w14:val="none"/>
        </w:rPr>
        <w:t>Kalpazidou</w:t>
      </w:r>
      <w:proofErr w:type="spellEnd"/>
      <w:r w:rsidRPr="0029420F">
        <w:rPr>
          <w:rFonts w:ascii="Segoe UI" w:eastAsia="Times New Roman" w:hAnsi="Segoe UI" w:cs="Segoe UI"/>
          <w:kern w:val="0"/>
          <w14:ligatures w14:val="none"/>
        </w:rPr>
        <w:t xml:space="preserve"> Schmidt, Evanthia; Schneider, Jesper Wiborg; Sørensen, Mads P. (Andersen at al. 2025). Generative Artificial Intelligence (GenAI) in the research process: A survey of researchers’ practices and perceptions. [</w:t>
      </w:r>
      <w:r w:rsidRPr="0029420F">
        <w:rPr>
          <w:rFonts w:ascii="Segoe UI" w:eastAsia="Times New Roman" w:hAnsi="Segoe UI" w:cs="Segoe UI"/>
          <w:i/>
          <w:iCs/>
          <w:kern w:val="0"/>
          <w:bdr w:val="none" w:sz="0" w:space="0" w:color="auto" w:frame="1"/>
          <w14:ligatures w14:val="none"/>
        </w:rPr>
        <w:t>Technology in Society</w:t>
      </w:r>
      <w:r w:rsidRPr="0029420F">
        <w:rPr>
          <w:rFonts w:ascii="Segoe UI" w:eastAsia="Times New Roman" w:hAnsi="Segoe UI" w:cs="Segoe UI"/>
          <w:kern w:val="0"/>
          <w14:ligatures w14:val="none"/>
        </w:rPr>
        <w:t>], 81, 102813.</w:t>
      </w:r>
      <w:r w:rsidRPr="0029420F">
        <w:rPr>
          <w:rFonts w:ascii="Segoe UI" w:eastAsia="Times New Roman" w:hAnsi="Segoe UI" w:cs="Segoe UI"/>
          <w:kern w:val="0"/>
          <w:bdr w:val="none" w:sz="0" w:space="0" w:color="auto" w:frame="1"/>
          <w14:ligatures w14:val="none"/>
        </w:rPr>
        <w:t xml:space="preserve"> </w:t>
      </w:r>
      <w:hyperlink r:id="rId14" w:tgtFrame="_self" w:history="1">
        <w:r w:rsidRPr="0029420F">
          <w:rPr>
            <w:rFonts w:ascii="Segoe UI" w:eastAsia="Times New Roman" w:hAnsi="Segoe UI" w:cs="Segoe UI"/>
            <w:color w:val="0A66C2"/>
            <w:kern w:val="0"/>
            <w:u w:val="single"/>
            <w:bdr w:val="none" w:sz="0" w:space="0" w:color="auto" w:frame="1"/>
            <w14:ligatures w14:val="none"/>
          </w:rPr>
          <w:t>https://doi.org/10.1016/j.techs</w:t>
        </w:r>
      </w:hyperlink>
    </w:p>
    <w:p w14:paraId="331F4E85"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kern w:val="0"/>
          <w14:ligatures w14:val="none"/>
        </w:rPr>
        <w:t xml:space="preserve">Wang, </w:t>
      </w:r>
      <w:proofErr w:type="spellStart"/>
      <w:r w:rsidRPr="0029420F">
        <w:rPr>
          <w:rFonts w:ascii="Segoe UI" w:eastAsia="Times New Roman" w:hAnsi="Segoe UI" w:cs="Segoe UI"/>
          <w:kern w:val="0"/>
          <w14:ligatures w14:val="none"/>
        </w:rPr>
        <w:t>Zhongshi</w:t>
      </w:r>
      <w:proofErr w:type="spellEnd"/>
      <w:r w:rsidRPr="0029420F">
        <w:rPr>
          <w:rFonts w:ascii="Segoe UI" w:eastAsia="Times New Roman" w:hAnsi="Segoe UI" w:cs="Segoe UI"/>
          <w:kern w:val="0"/>
          <w14:ligatures w14:val="none"/>
        </w:rPr>
        <w:t xml:space="preserve">; Gong, </w:t>
      </w:r>
      <w:proofErr w:type="spellStart"/>
      <w:r w:rsidRPr="0029420F">
        <w:rPr>
          <w:rFonts w:ascii="Segoe UI" w:eastAsia="Times New Roman" w:hAnsi="Segoe UI" w:cs="Segoe UI"/>
          <w:kern w:val="0"/>
          <w14:ligatures w14:val="none"/>
        </w:rPr>
        <w:t>Mengyue</w:t>
      </w:r>
      <w:proofErr w:type="spellEnd"/>
      <w:r w:rsidRPr="0029420F">
        <w:rPr>
          <w:rFonts w:ascii="Segoe UI" w:eastAsia="Times New Roman" w:hAnsi="Segoe UI" w:cs="Segoe UI"/>
          <w:kern w:val="0"/>
          <w14:ligatures w14:val="none"/>
        </w:rPr>
        <w:t>. (</w:t>
      </w:r>
      <w:proofErr w:type="spellStart"/>
      <w:r w:rsidRPr="0029420F">
        <w:rPr>
          <w:rFonts w:ascii="Segoe UI" w:eastAsia="Times New Roman" w:hAnsi="Segoe UI" w:cs="Segoe UI"/>
          <w:kern w:val="0"/>
          <w14:ligatures w14:val="none"/>
        </w:rPr>
        <w:t>Wang&amp;Gong</w:t>
      </w:r>
      <w:proofErr w:type="spellEnd"/>
      <w:r w:rsidRPr="0029420F">
        <w:rPr>
          <w:rFonts w:ascii="Segoe UI" w:eastAsia="Times New Roman" w:hAnsi="Segoe UI" w:cs="Segoe UI"/>
          <w:kern w:val="0"/>
          <w14:ligatures w14:val="none"/>
        </w:rPr>
        <w:t xml:space="preserve"> 2025). A Cross-Disciplinary Analysis of AI Policies in Academic Peer Review. [</w:t>
      </w:r>
      <w:r w:rsidRPr="0029420F">
        <w:rPr>
          <w:rFonts w:ascii="Segoe UI" w:eastAsia="Times New Roman" w:hAnsi="Segoe UI" w:cs="Segoe UI"/>
          <w:i/>
          <w:iCs/>
          <w:kern w:val="0"/>
          <w:bdr w:val="none" w:sz="0" w:space="0" w:color="auto" w:frame="1"/>
          <w14:ligatures w14:val="none"/>
        </w:rPr>
        <w:t>Learned Publishing</w:t>
      </w:r>
      <w:r w:rsidRPr="0029420F">
        <w:rPr>
          <w:rFonts w:ascii="Segoe UI" w:eastAsia="Times New Roman" w:hAnsi="Segoe UI" w:cs="Segoe UI"/>
          <w:kern w:val="0"/>
          <w14:ligatures w14:val="none"/>
        </w:rPr>
        <w:t>], 39, e2035.</w:t>
      </w:r>
      <w:r w:rsidRPr="0029420F">
        <w:rPr>
          <w:rFonts w:ascii="Segoe UI" w:eastAsia="Times New Roman" w:hAnsi="Segoe UI" w:cs="Segoe UI"/>
          <w:kern w:val="0"/>
          <w:bdr w:val="none" w:sz="0" w:space="0" w:color="auto" w:frame="1"/>
          <w14:ligatures w14:val="none"/>
        </w:rPr>
        <w:t xml:space="preserve"> </w:t>
      </w:r>
      <w:hyperlink r:id="rId15" w:tgtFrame="_self" w:history="1">
        <w:r w:rsidRPr="0029420F">
          <w:rPr>
            <w:rFonts w:ascii="Segoe UI" w:eastAsia="Times New Roman" w:hAnsi="Segoe UI" w:cs="Segoe UI"/>
            <w:color w:val="0A66C2"/>
            <w:kern w:val="0"/>
            <w:u w:val="single"/>
            <w:bdr w:val="none" w:sz="0" w:space="0" w:color="auto" w:frame="1"/>
            <w14:ligatures w14:val="none"/>
          </w:rPr>
          <w:t>https://doi.org/10.1002/leap.2035</w:t>
        </w:r>
      </w:hyperlink>
    </w:p>
    <w:p w14:paraId="5314123E" w14:textId="77777777"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i/>
          <w:iCs/>
          <w:kern w:val="0"/>
          <w:bdr w:val="none" w:sz="0" w:space="0" w:color="auto" w:frame="1"/>
          <w14:ligatures w14:val="none"/>
        </w:rPr>
        <w:t>Wiley</w:t>
      </w:r>
      <w:r w:rsidRPr="0029420F">
        <w:rPr>
          <w:rFonts w:ascii="Segoe UI" w:eastAsia="Times New Roman" w:hAnsi="Segoe UI" w:cs="Segoe UI"/>
          <w:kern w:val="0"/>
          <w:bdr w:val="none" w:sz="0" w:space="0" w:color="auto" w:frame="1"/>
          <w14:ligatures w14:val="none"/>
        </w:rPr>
        <w:t xml:space="preserve"> </w:t>
      </w:r>
      <w:r w:rsidRPr="0029420F">
        <w:rPr>
          <w:rFonts w:ascii="Segoe UI" w:eastAsia="Times New Roman" w:hAnsi="Segoe UI" w:cs="Segoe UI"/>
          <w:kern w:val="0"/>
          <w14:ligatures w14:val="none"/>
        </w:rPr>
        <w:t>2025. AI adoption jumps to 84% among researchers as expectations undergo significant reality check. [</w:t>
      </w:r>
      <w:r w:rsidRPr="0029420F">
        <w:rPr>
          <w:rFonts w:ascii="Segoe UI" w:eastAsia="Times New Roman" w:hAnsi="Segoe UI" w:cs="Segoe UI"/>
          <w:i/>
          <w:iCs/>
          <w:kern w:val="0"/>
          <w:bdr w:val="none" w:sz="0" w:space="0" w:color="auto" w:frame="1"/>
          <w14:ligatures w14:val="none"/>
        </w:rPr>
        <w:t>Wiley Newsroom</w:t>
      </w:r>
      <w:r w:rsidRPr="0029420F">
        <w:rPr>
          <w:rFonts w:ascii="Segoe UI" w:eastAsia="Times New Roman" w:hAnsi="Segoe UI" w:cs="Segoe UI"/>
          <w:kern w:val="0"/>
          <w14:ligatures w14:val="none"/>
        </w:rPr>
        <w:t>].</w:t>
      </w:r>
      <w:r w:rsidRPr="0029420F">
        <w:rPr>
          <w:rFonts w:ascii="Segoe UI" w:eastAsia="Times New Roman" w:hAnsi="Segoe UI" w:cs="Segoe UI"/>
          <w:kern w:val="0"/>
          <w:bdr w:val="none" w:sz="0" w:space="0" w:color="auto" w:frame="1"/>
          <w14:ligatures w14:val="none"/>
        </w:rPr>
        <w:t xml:space="preserve"> </w:t>
      </w:r>
      <w:hyperlink r:id="rId16" w:tgtFrame="_self" w:history="1">
        <w:r w:rsidRPr="0029420F">
          <w:rPr>
            <w:rFonts w:ascii="Segoe UI" w:eastAsia="Times New Roman" w:hAnsi="Segoe UI" w:cs="Segoe UI"/>
            <w:color w:val="0A66C2"/>
            <w:kern w:val="0"/>
            <w:u w:val="single"/>
            <w:bdr w:val="none" w:sz="0" w:space="0" w:color="auto" w:frame="1"/>
            <w14:ligatures w14:val="none"/>
          </w:rPr>
          <w:t>https://newsroom.wiley.com/press-releases/press-release-details/2025/AI-Adoption-Jumps-to-84-Among-Researchers-as-Expectations-Undergo-Significant-Reality-Check/default.aspx</w:t>
        </w:r>
      </w:hyperlink>
    </w:p>
    <w:p w14:paraId="1A3D40CB" w14:textId="77777777" w:rsidR="0029420F" w:rsidRDefault="0029420F" w:rsidP="0029420F">
      <w:pPr>
        <w:spacing w:after="0" w:line="240" w:lineRule="auto"/>
        <w:textAlignment w:val="baseline"/>
        <w:rPr>
          <w:rFonts w:ascii="Segoe UI" w:eastAsia="Times New Roman" w:hAnsi="Segoe UI" w:cs="Segoe UI"/>
          <w:i/>
          <w:iCs/>
          <w:kern w:val="0"/>
          <w:bdr w:val="none" w:sz="0" w:space="0" w:color="auto" w:frame="1"/>
          <w14:ligatures w14:val="none"/>
        </w:rPr>
      </w:pPr>
    </w:p>
    <w:p w14:paraId="440CAAC4" w14:textId="12852DDD" w:rsidR="0029420F" w:rsidRPr="0029420F" w:rsidRDefault="0029420F" w:rsidP="0029420F">
      <w:pPr>
        <w:spacing w:after="0" w:line="240" w:lineRule="auto"/>
        <w:textAlignment w:val="baseline"/>
        <w:rPr>
          <w:rFonts w:ascii="Segoe UI" w:eastAsia="Times New Roman" w:hAnsi="Segoe UI" w:cs="Segoe UI"/>
          <w:kern w:val="0"/>
          <w14:ligatures w14:val="none"/>
        </w:rPr>
      </w:pPr>
      <w:r w:rsidRPr="0029420F">
        <w:rPr>
          <w:rFonts w:ascii="Segoe UI" w:eastAsia="Times New Roman" w:hAnsi="Segoe UI" w:cs="Segoe UI"/>
          <w:i/>
          <w:iCs/>
          <w:kern w:val="0"/>
          <w:bdr w:val="none" w:sz="0" w:space="0" w:color="auto" w:frame="1"/>
          <w14:ligatures w14:val="none"/>
        </w:rPr>
        <w:t xml:space="preserve">The article is written by the head of the </w:t>
      </w:r>
      <w:proofErr w:type="spellStart"/>
      <w:r w:rsidRPr="0029420F">
        <w:rPr>
          <w:rFonts w:ascii="Segoe UI" w:eastAsia="Times New Roman" w:hAnsi="Segoe UI" w:cs="Segoe UI"/>
          <w:i/>
          <w:iCs/>
          <w:kern w:val="0"/>
          <w:bdr w:val="none" w:sz="0" w:space="0" w:color="auto" w:frame="1"/>
          <w14:ligatures w14:val="none"/>
        </w:rPr>
        <w:t>Cellformatica</w:t>
      </w:r>
      <w:proofErr w:type="spellEnd"/>
      <w:r w:rsidRPr="0029420F">
        <w:rPr>
          <w:rFonts w:ascii="Segoe UI" w:eastAsia="Times New Roman" w:hAnsi="Segoe UI" w:cs="Segoe UI"/>
          <w:i/>
          <w:iCs/>
          <w:kern w:val="0"/>
          <w:bdr w:val="none" w:sz="0" w:space="0" w:color="auto" w:frame="1"/>
          <w14:ligatures w14:val="none"/>
        </w:rPr>
        <w:t xml:space="preserve"> content team.</w:t>
      </w:r>
    </w:p>
    <w:p w14:paraId="35CFA942" w14:textId="77777777" w:rsidR="0029420F" w:rsidRDefault="0029420F"/>
    <w:sectPr w:rsidR="0029420F">
      <w:footerReference w:type="even"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706CD" w14:textId="77777777" w:rsidR="00CC6953" w:rsidRDefault="00CC6953" w:rsidP="0029420F">
      <w:pPr>
        <w:spacing w:after="0" w:line="240" w:lineRule="auto"/>
      </w:pPr>
      <w:r>
        <w:separator/>
      </w:r>
    </w:p>
  </w:endnote>
  <w:endnote w:type="continuationSeparator" w:id="0">
    <w:p w14:paraId="077C2F62" w14:textId="77777777" w:rsidR="00CC6953" w:rsidRDefault="00CC6953" w:rsidP="00294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1478192"/>
      <w:docPartObj>
        <w:docPartGallery w:val="Page Numbers (Bottom of Page)"/>
        <w:docPartUnique/>
      </w:docPartObj>
    </w:sdtPr>
    <w:sdtContent>
      <w:p w14:paraId="7C0554EF" w14:textId="355C06CB" w:rsidR="0029420F" w:rsidRDefault="0029420F"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66638A" w14:textId="77777777" w:rsidR="0029420F" w:rsidRDefault="0029420F" w:rsidP="002942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8507836"/>
      <w:docPartObj>
        <w:docPartGallery w:val="Page Numbers (Bottom of Page)"/>
        <w:docPartUnique/>
      </w:docPartObj>
    </w:sdtPr>
    <w:sdtContent>
      <w:p w14:paraId="67BF973E" w14:textId="2DD942D0" w:rsidR="0029420F" w:rsidRDefault="0029420F"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457CF7B" w14:textId="77777777" w:rsidR="0029420F" w:rsidRDefault="0029420F" w:rsidP="002942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A184" w14:textId="77777777" w:rsidR="00CC6953" w:rsidRDefault="00CC6953" w:rsidP="0029420F">
      <w:pPr>
        <w:spacing w:after="0" w:line="240" w:lineRule="auto"/>
      </w:pPr>
      <w:r>
        <w:separator/>
      </w:r>
    </w:p>
  </w:footnote>
  <w:footnote w:type="continuationSeparator" w:id="0">
    <w:p w14:paraId="18A9004D" w14:textId="77777777" w:rsidR="00CC6953" w:rsidRDefault="00CC6953" w:rsidP="00294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16D67"/>
    <w:multiLevelType w:val="multilevel"/>
    <w:tmpl w:val="A6B0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6B2A47"/>
    <w:multiLevelType w:val="multilevel"/>
    <w:tmpl w:val="529E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868176">
    <w:abstractNumId w:val="0"/>
  </w:num>
  <w:num w:numId="2" w16cid:durableId="33388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0F"/>
    <w:rsid w:val="0029420F"/>
    <w:rsid w:val="00B21DF6"/>
    <w:rsid w:val="00CC6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7C35CEE"/>
  <w15:chartTrackingRefBased/>
  <w15:docId w15:val="{D6748E0B-DE39-154D-BB98-12EBC3FCE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20F"/>
    <w:rPr>
      <w:rFonts w:eastAsiaTheme="majorEastAsia" w:cstheme="majorBidi"/>
      <w:color w:val="272727" w:themeColor="text1" w:themeTint="D8"/>
    </w:rPr>
  </w:style>
  <w:style w:type="paragraph" w:styleId="Title">
    <w:name w:val="Title"/>
    <w:basedOn w:val="Normal"/>
    <w:next w:val="Normal"/>
    <w:link w:val="TitleChar"/>
    <w:uiPriority w:val="10"/>
    <w:qFormat/>
    <w:rsid w:val="0029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20F"/>
    <w:pPr>
      <w:spacing w:before="160"/>
      <w:jc w:val="center"/>
    </w:pPr>
    <w:rPr>
      <w:i/>
      <w:iCs/>
      <w:color w:val="404040" w:themeColor="text1" w:themeTint="BF"/>
    </w:rPr>
  </w:style>
  <w:style w:type="character" w:customStyle="1" w:styleId="QuoteChar">
    <w:name w:val="Quote Char"/>
    <w:basedOn w:val="DefaultParagraphFont"/>
    <w:link w:val="Quote"/>
    <w:uiPriority w:val="29"/>
    <w:rsid w:val="0029420F"/>
    <w:rPr>
      <w:i/>
      <w:iCs/>
      <w:color w:val="404040" w:themeColor="text1" w:themeTint="BF"/>
    </w:rPr>
  </w:style>
  <w:style w:type="paragraph" w:styleId="ListParagraph">
    <w:name w:val="List Paragraph"/>
    <w:basedOn w:val="Normal"/>
    <w:uiPriority w:val="34"/>
    <w:qFormat/>
    <w:rsid w:val="0029420F"/>
    <w:pPr>
      <w:ind w:left="720"/>
      <w:contextualSpacing/>
    </w:pPr>
  </w:style>
  <w:style w:type="character" w:styleId="IntenseEmphasis">
    <w:name w:val="Intense Emphasis"/>
    <w:basedOn w:val="DefaultParagraphFont"/>
    <w:uiPriority w:val="21"/>
    <w:qFormat/>
    <w:rsid w:val="0029420F"/>
    <w:rPr>
      <w:i/>
      <w:iCs/>
      <w:color w:val="0F4761" w:themeColor="accent1" w:themeShade="BF"/>
    </w:rPr>
  </w:style>
  <w:style w:type="paragraph" w:styleId="IntenseQuote">
    <w:name w:val="Intense Quote"/>
    <w:basedOn w:val="Normal"/>
    <w:next w:val="Normal"/>
    <w:link w:val="IntenseQuoteChar"/>
    <w:uiPriority w:val="30"/>
    <w:qFormat/>
    <w:rsid w:val="00294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20F"/>
    <w:rPr>
      <w:i/>
      <w:iCs/>
      <w:color w:val="0F4761" w:themeColor="accent1" w:themeShade="BF"/>
    </w:rPr>
  </w:style>
  <w:style w:type="character" w:styleId="IntenseReference">
    <w:name w:val="Intense Reference"/>
    <w:basedOn w:val="DefaultParagraphFont"/>
    <w:uiPriority w:val="32"/>
    <w:qFormat/>
    <w:rsid w:val="0029420F"/>
    <w:rPr>
      <w:b/>
      <w:bCs/>
      <w:smallCaps/>
      <w:color w:val="0F4761" w:themeColor="accent1" w:themeShade="BF"/>
      <w:spacing w:val="5"/>
    </w:rPr>
  </w:style>
  <w:style w:type="character" w:styleId="Hyperlink">
    <w:name w:val="Hyperlink"/>
    <w:basedOn w:val="DefaultParagraphFont"/>
    <w:uiPriority w:val="99"/>
    <w:semiHidden/>
    <w:unhideWhenUsed/>
    <w:rsid w:val="0029420F"/>
    <w:rPr>
      <w:color w:val="0000FF"/>
      <w:u w:val="single"/>
    </w:rPr>
  </w:style>
  <w:style w:type="paragraph" w:customStyle="1" w:styleId="ember-view">
    <w:name w:val="ember-view"/>
    <w:basedOn w:val="Normal"/>
    <w:rsid w:val="002942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420F"/>
    <w:rPr>
      <w:b/>
      <w:bCs/>
    </w:rPr>
  </w:style>
  <w:style w:type="character" w:customStyle="1" w:styleId="white-space-pre">
    <w:name w:val="white-space-pre"/>
    <w:basedOn w:val="DefaultParagraphFont"/>
    <w:rsid w:val="0029420F"/>
  </w:style>
  <w:style w:type="character" w:styleId="Emphasis">
    <w:name w:val="Emphasis"/>
    <w:basedOn w:val="DefaultParagraphFont"/>
    <w:uiPriority w:val="20"/>
    <w:qFormat/>
    <w:rsid w:val="0029420F"/>
    <w:rPr>
      <w:i/>
      <w:iCs/>
    </w:rPr>
  </w:style>
  <w:style w:type="paragraph" w:styleId="Footer">
    <w:name w:val="footer"/>
    <w:basedOn w:val="Normal"/>
    <w:link w:val="FooterChar"/>
    <w:uiPriority w:val="99"/>
    <w:unhideWhenUsed/>
    <w:rsid w:val="002942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20F"/>
  </w:style>
  <w:style w:type="character" w:styleId="PageNumber">
    <w:name w:val="page number"/>
    <w:basedOn w:val="DefaultParagraphFont"/>
    <w:uiPriority w:val="99"/>
    <w:semiHidden/>
    <w:unhideWhenUsed/>
    <w:rsid w:val="00294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doi/10.1073/pnas.2407886121" TargetMode="External"/><Relationship Id="rId13" Type="http://schemas.openxmlformats.org/officeDocument/2006/relationships/hyperlink" Target="https://www.wiley.com/en-us/publish/article/ai-guidelines/"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science.org/content/blog-post/change-policy-use-generative-ai-and-large-language-models" TargetMode="External"/><Relationship Id="rId12" Type="http://schemas.openxmlformats.org/officeDocument/2006/relationships/hyperlink" Target="https://www.cell.com/structure/information-for-authors/journal-policie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newsroom.wiley.com/press-releases/press-release-details/2025/AI-Adoption-Jumps-to-84-Among-Researchers-as-Expectations-Undergo-Significant-Reality-Check/default.asp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ic.oup.com/bioscience/pages/general_instructions" TargetMode="External"/><Relationship Id="rId5" Type="http://schemas.openxmlformats.org/officeDocument/2006/relationships/footnotes" Target="footnotes.xml"/><Relationship Id="rId15" Type="http://schemas.openxmlformats.org/officeDocument/2006/relationships/hyperlink" Target="https://doi.org/10.1002/leap.2035" TargetMode="External"/><Relationship Id="rId10" Type="http://schemas.openxmlformats.org/officeDocument/2006/relationships/hyperlink" Target="https://www.annualreviews.org/page/authors/editorial-polici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pringernature.com/gp/policies/editorial-policies" TargetMode="External"/><Relationship Id="rId14" Type="http://schemas.openxmlformats.org/officeDocument/2006/relationships/hyperlink" Target="https://doi.org/10.1016/j.tec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1673</Words>
  <Characters>10174</Characters>
  <Application>Microsoft Office Word</Application>
  <DocSecurity>0</DocSecurity>
  <Lines>166</Lines>
  <Paragraphs>56</Paragraphs>
  <ScaleCrop>false</ScaleCrop>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2026-03-17T01:36:00Z</dcterms:created>
  <dcterms:modified xsi:type="dcterms:W3CDTF">2026-03-17T01:39:00Z</dcterms:modified>
</cp:coreProperties>
</file>