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9E71" w14:textId="1D54B668"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b/>
          <w:bCs/>
          <w:kern w:val="0"/>
          <w:sz w:val="26"/>
          <w:szCs w:val="26"/>
          <w14:ligatures w14:val="none"/>
        </w:rPr>
        <w:t>Maria Mayofis</w:t>
      </w:r>
      <w:r w:rsidRPr="002F720C">
        <w:rPr>
          <w:rFonts w:ascii="Times New Roman" w:eastAsia="Times New Roman" w:hAnsi="Times New Roman" w:cs="Times New Roman"/>
          <w:kern w:val="0"/>
          <w:sz w:val="26"/>
          <w:szCs w:val="26"/>
          <w14:ligatures w14:val="none"/>
        </w:rPr>
        <w:br/>
      </w:r>
    </w:p>
    <w:p w14:paraId="4860B2E1" w14:textId="0F96C421"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b/>
          <w:bCs/>
          <w:kern w:val="0"/>
          <w:sz w:val="26"/>
          <w:szCs w:val="26"/>
          <w14:ligatures w14:val="none"/>
        </w:rPr>
        <w:t>Contours of Hope: Theses on a New Solidarity</w:t>
      </w:r>
      <w:r w:rsidRPr="002F720C">
        <w:rPr>
          <w:rFonts w:ascii="Times New Roman" w:eastAsia="Times New Roman" w:hAnsi="Times New Roman" w:cs="Times New Roman"/>
          <w:kern w:val="0"/>
          <w:sz w:val="26"/>
          <w:szCs w:val="26"/>
          <w14:ligatures w14:val="none"/>
        </w:rPr>
        <w:br/>
      </w:r>
      <w:r w:rsidRPr="002F720C">
        <w:rPr>
          <w:rFonts w:ascii="Times New Roman" w:eastAsia="Times New Roman" w:hAnsi="Times New Roman" w:cs="Times New Roman"/>
          <w:i/>
          <w:iCs/>
          <w:kern w:val="0"/>
          <w:sz w:val="26"/>
          <w:szCs w:val="26"/>
          <w14:ligatures w14:val="none"/>
        </w:rPr>
        <w:t>The Moscow Times, April 25, 2025</w:t>
      </w:r>
    </w:p>
    <w:p w14:paraId="67BEA765" w14:textId="77777777" w:rsidR="002F720C" w:rsidRPr="002F720C" w:rsidRDefault="002F720C" w:rsidP="002F720C">
      <w:pPr>
        <w:spacing w:before="100" w:beforeAutospacing="1" w:after="100" w:afterAutospacing="1" w:line="240" w:lineRule="auto"/>
        <w:jc w:val="right"/>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“Bring a few good people to Zhitomir. Ah, we have a shortage in our town, a terrible shortage! Bring us good people and we will give them all our gramophones. We are not ignoramuses. The </w:t>
      </w:r>
      <w:proofErr w:type="spellStart"/>
      <w:r w:rsidRPr="002F720C">
        <w:rPr>
          <w:rFonts w:ascii="Times New Roman" w:eastAsia="Times New Roman" w:hAnsi="Times New Roman" w:cs="Times New Roman"/>
          <w:kern w:val="0"/>
          <w:sz w:val="26"/>
          <w:szCs w:val="26"/>
          <w14:ligatures w14:val="none"/>
        </w:rPr>
        <w:t>Internationale</w:t>
      </w:r>
      <w:proofErr w:type="spellEnd"/>
      <w:r w:rsidRPr="002F720C">
        <w:rPr>
          <w:rFonts w:ascii="Times New Roman" w:eastAsia="Times New Roman" w:hAnsi="Times New Roman" w:cs="Times New Roman"/>
          <w:kern w:val="0"/>
          <w:sz w:val="26"/>
          <w:szCs w:val="26"/>
          <w14:ligatures w14:val="none"/>
        </w:rPr>
        <w:t xml:space="preserve">… we know what the </w:t>
      </w:r>
      <w:proofErr w:type="spellStart"/>
      <w:r w:rsidRPr="002F720C">
        <w:rPr>
          <w:rFonts w:ascii="Times New Roman" w:eastAsia="Times New Roman" w:hAnsi="Times New Roman" w:cs="Times New Roman"/>
          <w:kern w:val="0"/>
          <w:sz w:val="26"/>
          <w:szCs w:val="26"/>
          <w14:ligatures w14:val="none"/>
        </w:rPr>
        <w:t>Internationale</w:t>
      </w:r>
      <w:proofErr w:type="spellEnd"/>
      <w:r w:rsidRPr="002F720C">
        <w:rPr>
          <w:rFonts w:ascii="Times New Roman" w:eastAsia="Times New Roman" w:hAnsi="Times New Roman" w:cs="Times New Roman"/>
          <w:kern w:val="0"/>
          <w:sz w:val="26"/>
          <w:szCs w:val="26"/>
          <w14:ligatures w14:val="none"/>
        </w:rPr>
        <w:t xml:space="preserve"> is. And I want an </w:t>
      </w:r>
      <w:proofErr w:type="spellStart"/>
      <w:r w:rsidRPr="002F720C">
        <w:rPr>
          <w:rFonts w:ascii="Times New Roman" w:eastAsia="Times New Roman" w:hAnsi="Times New Roman" w:cs="Times New Roman"/>
          <w:kern w:val="0"/>
          <w:sz w:val="26"/>
          <w:szCs w:val="26"/>
          <w14:ligatures w14:val="none"/>
        </w:rPr>
        <w:t>Internationale</w:t>
      </w:r>
      <w:proofErr w:type="spellEnd"/>
      <w:r w:rsidRPr="002F720C">
        <w:rPr>
          <w:rFonts w:ascii="Times New Roman" w:eastAsia="Times New Roman" w:hAnsi="Times New Roman" w:cs="Times New Roman"/>
          <w:kern w:val="0"/>
          <w:sz w:val="26"/>
          <w:szCs w:val="26"/>
          <w14:ligatures w14:val="none"/>
        </w:rPr>
        <w:t xml:space="preserve"> of good people…”</w:t>
      </w:r>
    </w:p>
    <w:p w14:paraId="1828C32F" w14:textId="77777777" w:rsidR="002F720C" w:rsidRPr="002F720C" w:rsidRDefault="002F720C" w:rsidP="002F720C">
      <w:pPr>
        <w:spacing w:before="100" w:beforeAutospacing="1" w:after="100" w:afterAutospacing="1" w:line="240" w:lineRule="auto"/>
        <w:jc w:val="right"/>
        <w:rPr>
          <w:rFonts w:ascii="Times New Roman" w:eastAsia="Times New Roman" w:hAnsi="Times New Roman" w:cs="Times New Roman"/>
          <w:i/>
          <w:iCs/>
          <w:kern w:val="0"/>
          <w:sz w:val="26"/>
          <w:szCs w:val="26"/>
          <w14:ligatures w14:val="none"/>
        </w:rPr>
      </w:pPr>
      <w:r w:rsidRPr="002F720C">
        <w:rPr>
          <w:rFonts w:ascii="Times New Roman" w:eastAsia="Times New Roman" w:hAnsi="Times New Roman" w:cs="Times New Roman"/>
          <w:i/>
          <w:iCs/>
          <w:kern w:val="0"/>
          <w:sz w:val="26"/>
          <w:szCs w:val="26"/>
          <w14:ligatures w14:val="none"/>
        </w:rPr>
        <w:t>Isaac Babel, “</w:t>
      </w:r>
      <w:proofErr w:type="spellStart"/>
      <w:r w:rsidRPr="002F720C">
        <w:rPr>
          <w:rFonts w:ascii="Times New Roman" w:eastAsia="Times New Roman" w:hAnsi="Times New Roman" w:cs="Times New Roman"/>
          <w:i/>
          <w:iCs/>
          <w:kern w:val="0"/>
          <w:sz w:val="26"/>
          <w:szCs w:val="26"/>
          <w14:ligatures w14:val="none"/>
        </w:rPr>
        <w:t>Gedali</w:t>
      </w:r>
      <w:proofErr w:type="spellEnd"/>
      <w:r w:rsidRPr="002F720C">
        <w:rPr>
          <w:rFonts w:ascii="Times New Roman" w:eastAsia="Times New Roman" w:hAnsi="Times New Roman" w:cs="Times New Roman"/>
          <w:i/>
          <w:iCs/>
          <w:kern w:val="0"/>
          <w:sz w:val="26"/>
          <w:szCs w:val="26"/>
          <w14:ligatures w14:val="none"/>
        </w:rPr>
        <w:t>,” 1920, translated by Peter Constantine</w:t>
      </w:r>
    </w:p>
    <w:p w14:paraId="6B66204F"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Each day over the past three years and more has brought its share of grim and frightening news: tragedies unfolding in Russia, the human losses and destruction inflicted by Russia on Ukraine, threats issued by Russian officials against countries far beyond the region.</w:t>
      </w:r>
    </w:p>
    <w:p w14:paraId="47F25C14"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State terror in Belarus continues and deepens. The influence of the Russian regime is beginning to register in European governments. Slovakia, Hungary, Georgia, and Serbia come to mind. Kremlin propaganda finds a sympathetic reception in parts of Asia and Latin America. Russian leadership is expanding its political and economic reach across Africa. In recent months, another development has entered the picture. An openly cynical politics has taken shape in the United States, where the right of the stronger increasingly functions as both a governing principle and a persuasive argument in public debate, as well as in the introduction of new political and economic measures.</w:t>
      </w:r>
    </w:p>
    <w:p w14:paraId="37C33BF7"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For many people around me, all of this produces depression, apathy, a sense of isolation and helplessness.</w:t>
      </w:r>
    </w:p>
    <w:p w14:paraId="57E03E42" w14:textId="3E60C4C1"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Addressing those who, like </w:t>
      </w:r>
      <w:r w:rsidRPr="002F720C">
        <w:rPr>
          <w:rFonts w:ascii="Times New Roman" w:eastAsia="Times New Roman" w:hAnsi="Times New Roman" w:cs="Times New Roman"/>
          <w:kern w:val="0"/>
          <w:sz w:val="26"/>
          <w:szCs w:val="26"/>
          <w14:ligatures w14:val="none"/>
        </w:rPr>
        <w:t>me</w:t>
      </w:r>
      <w:r w:rsidRPr="002F720C">
        <w:rPr>
          <w:rFonts w:ascii="Times New Roman" w:eastAsia="Times New Roman" w:hAnsi="Times New Roman" w:cs="Times New Roman"/>
          <w:kern w:val="0"/>
          <w:sz w:val="26"/>
          <w:szCs w:val="26"/>
          <w14:ligatures w14:val="none"/>
        </w:rPr>
        <w:t>, are unwilling to accept this new reality, I would like to think about possible forms of coming together, about how we might become visible to one another, and visible as well to broader media audiences.</w:t>
      </w:r>
    </w:p>
    <w:p w14:paraId="50C1476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Some of the tendencies I describe here are already part of our lived reality. What they lack is articulation and emphasis. They need to be brought into focus and turned into a conscious strategy of action and interaction. At the same time, many of the emerging developments we discuss tend to be considered in isolation. It is worth placing them side by side, to see whether they form a larger pattern. When I tried to do this, I found that taken together, they offer grounds, if not for optimism, then at least for hope.</w:t>
      </w:r>
    </w:p>
    <w:p w14:paraId="21DD7464"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What follows is not, in any sense, a program for a new political party or movement. Rather, it is an invitation to reflect on long term strategies for new forms of communication and cooperation. These strategies do not aim at immediate regime change </w:t>
      </w:r>
      <w:r w:rsidRPr="002F720C">
        <w:rPr>
          <w:rFonts w:ascii="Times New Roman" w:eastAsia="Times New Roman" w:hAnsi="Times New Roman" w:cs="Times New Roman"/>
          <w:kern w:val="0"/>
          <w:sz w:val="26"/>
          <w:szCs w:val="26"/>
          <w14:ligatures w14:val="none"/>
        </w:rPr>
        <w:lastRenderedPageBreak/>
        <w:t>anywhere. What seems more urgent is the question of how to influence the moral climate of contemporary societies, how to encourage a more critical stance toward a cynical politics that is rapidly becoming normalized.</w:t>
      </w:r>
    </w:p>
    <w:p w14:paraId="47C6F3B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How might we cultivate mutual support among those who refuse to accept this normalization? That refusal does not rest on any single existing ideology. On the contrary, resistance to cynical politics appears capable of bringing into contact people whose convictions differ sharply.</w:t>
      </w:r>
    </w:p>
    <w:p w14:paraId="3680E06A" w14:textId="30A6CCE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I have tried to formulate ten theses. They fall, roughly, into two groups. The first concerns </w:t>
      </w:r>
      <w:r w:rsidRPr="002F720C">
        <w:rPr>
          <w:rFonts w:ascii="Times New Roman" w:eastAsia="Times New Roman" w:hAnsi="Times New Roman" w:cs="Times New Roman"/>
          <w:kern w:val="0"/>
          <w:sz w:val="26"/>
          <w:szCs w:val="26"/>
          <w14:ligatures w14:val="none"/>
        </w:rPr>
        <w:t>change</w:t>
      </w:r>
      <w:r w:rsidRPr="002F720C">
        <w:rPr>
          <w:rFonts w:ascii="Times New Roman" w:eastAsia="Times New Roman" w:hAnsi="Times New Roman" w:cs="Times New Roman"/>
          <w:kern w:val="0"/>
          <w:sz w:val="26"/>
          <w:szCs w:val="26"/>
          <w14:ligatures w14:val="none"/>
        </w:rPr>
        <w:t xml:space="preserve"> in social structure. The second addresses shifts in communication strategies.</w:t>
      </w:r>
    </w:p>
    <w:p w14:paraId="4A4FC500" w14:textId="77777777" w:rsidR="002F720C" w:rsidRPr="002F720C" w:rsidRDefault="002F720C" w:rsidP="002F720C">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I. The Structure of New Social Movements</w:t>
      </w:r>
    </w:p>
    <w:p w14:paraId="71457F11"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1. Globalization</w:t>
      </w:r>
    </w:p>
    <w:p w14:paraId="1228A8DD"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The current social and political crisis is at once global and isolationist. Cynical politics drives international conflict while weakening cooperation. This suggests that efforts to resist it, whether by intellectuals or broader publics, may gradually take on a global character, crossing the boundaries of nation states and regions.</w:t>
      </w:r>
    </w:p>
    <w:p w14:paraId="3CE2D92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This does not mean abandoning local agendas. On the contrary, it becomes important to ask, </w:t>
      </w:r>
      <w:proofErr w:type="gramStart"/>
      <w:r w:rsidRPr="002F720C">
        <w:rPr>
          <w:rFonts w:ascii="Times New Roman" w:eastAsia="Times New Roman" w:hAnsi="Times New Roman" w:cs="Times New Roman"/>
          <w:kern w:val="0"/>
          <w:sz w:val="26"/>
          <w:szCs w:val="26"/>
          <w14:ligatures w14:val="none"/>
        </w:rPr>
        <w:t>again and again</w:t>
      </w:r>
      <w:proofErr w:type="gramEnd"/>
      <w:r w:rsidRPr="002F720C">
        <w:rPr>
          <w:rFonts w:ascii="Times New Roman" w:eastAsia="Times New Roman" w:hAnsi="Times New Roman" w:cs="Times New Roman"/>
          <w:kern w:val="0"/>
          <w:sz w:val="26"/>
          <w:szCs w:val="26"/>
          <w14:ligatures w14:val="none"/>
        </w:rPr>
        <w:t>, how local concerns fit into a global picture, and to look for allies in other countries who might support initiatives rooted in local contexts. In an age of rapidly developing translation technologies, linguistic barriers remain real, but they are no longer insurmountable.</w:t>
      </w:r>
    </w:p>
    <w:p w14:paraId="65B1E08B"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At the same time, the work of skilled human translators will remain indispensable.</w:t>
      </w:r>
    </w:p>
    <w:p w14:paraId="74002EDA"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2. Solidarity</w:t>
      </w:r>
    </w:p>
    <w:p w14:paraId="461252C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From this perspective, solidarity becomes the foundation of such transnational connections. One immediate task might be the active creation of spaces of solidarity on a broad scale.</w:t>
      </w:r>
    </w:p>
    <w:p w14:paraId="47FED0F2"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Solidarity is usually grounded in values. To act in solidarity is not only to support </w:t>
      </w:r>
      <w:proofErr w:type="gramStart"/>
      <w:r w:rsidRPr="002F720C">
        <w:rPr>
          <w:rFonts w:ascii="Times New Roman" w:eastAsia="Times New Roman" w:hAnsi="Times New Roman" w:cs="Times New Roman"/>
          <w:kern w:val="0"/>
          <w:sz w:val="26"/>
          <w:szCs w:val="26"/>
          <w14:ligatures w14:val="none"/>
        </w:rPr>
        <w:t>particular individuals</w:t>
      </w:r>
      <w:proofErr w:type="gramEnd"/>
      <w:r w:rsidRPr="002F720C">
        <w:rPr>
          <w:rFonts w:ascii="Times New Roman" w:eastAsia="Times New Roman" w:hAnsi="Times New Roman" w:cs="Times New Roman"/>
          <w:kern w:val="0"/>
          <w:sz w:val="26"/>
          <w:szCs w:val="26"/>
          <w14:ligatures w14:val="none"/>
        </w:rPr>
        <w:t>, movements, or institutions, but also to make one’s values visible. It may therefore be useful to think of solidarity as value driven, rather than as a vague alignment for everything good against everything bad.</w:t>
      </w:r>
    </w:p>
    <w:p w14:paraId="15A2AB49"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3. Heterogeneity</w:t>
      </w:r>
    </w:p>
    <w:p w14:paraId="1C91BB0E"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lastRenderedPageBreak/>
        <w:t>Contemporary solidarity is, by its nature, heterogeneous. This refers not only to its transnational dimension, but also to the diversity in scale and type of its participants.</w:t>
      </w:r>
    </w:p>
    <w:p w14:paraId="1DC1D005"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Universities can support individuals harmed by harsh immigration policies, even when those individuals have no formal connection to academic institutions. Private citizens can support universities defending their autonomy. Public figures can join forces with little known local activists. Media outlets can collaborate with fact checking enthusiasts. Research labs can work together with science communicators and bloggers. And individuals can support one another directly.</w:t>
      </w:r>
    </w:p>
    <w:p w14:paraId="2F5611AE"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What can emerge from such interactions is not only a chain of collaborations, but fragments of a shared value space. These are interwoven threads and nodes of social connection through which solidarity circulates. As these networks become visible, it becomes harder for cynical political actors to draw organizations, businesses, or individuals into their orbit.</w:t>
      </w:r>
    </w:p>
    <w:p w14:paraId="13F10D17"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As these connections strengthen, the fear of being in the minority, of repression, of discreditation may begin to recede, both for participants and for observers.</w:t>
      </w:r>
    </w:p>
    <w:p w14:paraId="218FECC5"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At the same time, such heterogeneity presents real risks in authoritarian contexts where freedoms are severely curtailed, including Russia, Belarus, Georgia, and Azerbaijan. Anonymization and other safeguards may help, but it must be acknowledged openly that those in exile will often have to act as intermediaries, expressing the will and initiatives of those who remain inside. Trust between those inside and those outside becomes crucial here.</w:t>
      </w:r>
    </w:p>
    <w:p w14:paraId="297B0AFF"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4. Plurality of Agendas and Mutual Interest</w:t>
      </w:r>
    </w:p>
    <w:p w14:paraId="7061B2C6"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Within such a heterogeneous network, openness to different agendas is essential.</w:t>
      </w:r>
    </w:p>
    <w:p w14:paraId="6F14437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Some work to build nationwide movements to defend potential conscripts in Russia. Others assist those detained and beaten during protests in Georgia. Still others seek new funding sources for research groups that have lost grants in the United States. Some promote environmental initiatives at the level of cities and neighborhoods. Others support families affected by war, deportation, or repression. Still others organize public campaigns on issues such as vaccine hesitancy.</w:t>
      </w:r>
    </w:p>
    <w:p w14:paraId="776D683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Local initiatives are no less valuable than regional ones. Regional ones are no less significant than national ones. National ones are no less important than transnational ones. What matters is the recognition that these efforts form part of a shared endeavor.</w:t>
      </w:r>
    </w:p>
    <w:p w14:paraId="3B4448DF"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Solidarity is not merely the accumulation of initiatives. It implies an active interest in circumstances that may be geographically or culturally distant. Such interest expands our </w:t>
      </w:r>
      <w:r w:rsidRPr="002F720C">
        <w:rPr>
          <w:rFonts w:ascii="Times New Roman" w:eastAsia="Times New Roman" w:hAnsi="Times New Roman" w:cs="Times New Roman"/>
          <w:kern w:val="0"/>
          <w:sz w:val="26"/>
          <w:szCs w:val="26"/>
          <w14:ligatures w14:val="none"/>
        </w:rPr>
        <w:lastRenderedPageBreak/>
        <w:t>sense of the world, of what is possible, of how one might act, and in doing so changes not only the world around us, but ourselves.</w:t>
      </w:r>
    </w:p>
    <w:p w14:paraId="45AC57B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Out of this comes an exchange of experience, an exchange in how to resist prevailing moral and political climates.</w:t>
      </w:r>
    </w:p>
    <w:p w14:paraId="7FAE1D55"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5. Horizontality and Participation</w:t>
      </w:r>
    </w:p>
    <w:p w14:paraId="55A850DF"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The movement I am describing is not only global. It is also, by nature, horizontal. It rests on a different understanding of public life and participation, one that assumes the agency and responsibility of each participant.</w:t>
      </w:r>
    </w:p>
    <w:p w14:paraId="353352C1"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Centralized command structures seem out of place here. The </w:t>
      </w:r>
      <w:proofErr w:type="gramStart"/>
      <w:r w:rsidRPr="002F720C">
        <w:rPr>
          <w:rFonts w:ascii="Times New Roman" w:eastAsia="Times New Roman" w:hAnsi="Times New Roman" w:cs="Times New Roman"/>
          <w:kern w:val="0"/>
          <w:sz w:val="26"/>
          <w:szCs w:val="26"/>
          <w14:ligatures w14:val="none"/>
        </w:rPr>
        <w:t>long term</w:t>
      </w:r>
      <w:proofErr w:type="gramEnd"/>
      <w:r w:rsidRPr="002F720C">
        <w:rPr>
          <w:rFonts w:ascii="Times New Roman" w:eastAsia="Times New Roman" w:hAnsi="Times New Roman" w:cs="Times New Roman"/>
          <w:kern w:val="0"/>
          <w:sz w:val="26"/>
          <w:szCs w:val="26"/>
          <w14:ligatures w14:val="none"/>
        </w:rPr>
        <w:t xml:space="preserve"> aim is not insurrection or conspiracy, but a gradual influence on public attitudes and processes. A horizontal structure is harder to suppress, dismantle, or discredit. Just as importantly, it may reduce destructive internal competition for power.</w:t>
      </w:r>
    </w:p>
    <w:p w14:paraId="01B9891A" w14:textId="77777777" w:rsidR="002F720C" w:rsidRPr="002F720C" w:rsidRDefault="002F720C" w:rsidP="002F720C">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II. Possible Communication Strategies</w:t>
      </w:r>
    </w:p>
    <w:p w14:paraId="45CD6E2E"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In this context, social media and independent media become key instruments. Those who choose to participate in such a movement of solidarity might take on the role not only of informing audiences about new initiatives, but also of mediating between different actors.</w:t>
      </w:r>
    </w:p>
    <w:p w14:paraId="7508BC58"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6. Trust and the Presumption of Good Intent</w:t>
      </w:r>
    </w:p>
    <w:p w14:paraId="6B2E6072"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Solidarity is difficult without trust. Trust operates at the level of personal experience. I know this person, we have worked together, I am willing to try. But it can also function as a broader disposition.</w:t>
      </w:r>
    </w:p>
    <w:p w14:paraId="6D36E594"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Alongside trust should stand two further commitments. A willingness to correct mistakes together, and a readiness to discuss failures constructively. Some errors should be corrected quickly. Others should be understood so as not to be repeated. Wherever possible, it is worth avoiding stigmatization and public shaming of allies, unless their actions are genuinely discrediting.</w:t>
      </w:r>
    </w:p>
    <w:p w14:paraId="6E125BD2"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Trust is closely tied to a presumption of good intent. Such a presumption makes it harder for provocations, abundant in both social and traditional media, to take hold.</w:t>
      </w:r>
    </w:p>
    <w:p w14:paraId="51596745"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7. The Reversibility of Word and Action</w:t>
      </w:r>
    </w:p>
    <w:p w14:paraId="6DDBB621"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Practitioners of cynical politics have long grasped how quickly, in a fully mediatized world, words become actions.</w:t>
      </w:r>
    </w:p>
    <w:p w14:paraId="20E6F7B1"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lastRenderedPageBreak/>
        <w:t>It is worth considering the reverse as well. Actions are also messages. A deed can articulate an idea. Some actors are more adept at producing language, others at acting. Even actions may have a strongly verbal dimension, as in an advocate’s speech in court.</w:t>
      </w:r>
    </w:p>
    <w:p w14:paraId="57B903C3"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The distinction remains useful. There is the level of declarations, and the level of concrete acts. If participants are working together to build networks of solidarity, then words can continually turn into actions, and actions into words. This second transformation is especially important for attracting new participants, spreading shared values, and demonstrating that words and deeds do not diverge.</w:t>
      </w:r>
    </w:p>
    <w:p w14:paraId="6FD22E19"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8. Empathy</w:t>
      </w:r>
    </w:p>
    <w:p w14:paraId="6D3F6240"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The language of empathy, cooperation, and consensus should be as audible as the language of disagreement and hostility.</w:t>
      </w:r>
    </w:p>
    <w:p w14:paraId="33A9241E"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Even when anger is justified, it is worth resisting the temptation to let it dominate the entire informational space. There should remain room for empathy, attachment, and even for humor and irony. These bind people together no less effectively than outrage, however justified that outrage may be.</w:t>
      </w:r>
    </w:p>
    <w:p w14:paraId="7ADB57E7"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9. The Appeal of Rational Argument</w:t>
      </w:r>
    </w:p>
    <w:p w14:paraId="4BC8444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Alongside empathy, rational argument should also be made visible and appealing.</w:t>
      </w:r>
    </w:p>
    <w:p w14:paraId="5CF078AA" w14:textId="6BE2325C"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 xml:space="preserve">Publicly cultivated, respectful discussions grounded in coherent reasoning can play an important role. This does not mean eliminating emotion altogether. Rather, it may be useful to make the act of speaking both performative and </w:t>
      </w:r>
      <w:r w:rsidRPr="002F720C">
        <w:rPr>
          <w:rFonts w:ascii="Times New Roman" w:eastAsia="Times New Roman" w:hAnsi="Times New Roman" w:cs="Times New Roman"/>
          <w:kern w:val="0"/>
          <w:sz w:val="26"/>
          <w:szCs w:val="26"/>
          <w14:ligatures w14:val="none"/>
        </w:rPr>
        <w:t>self-aware</w:t>
      </w:r>
      <w:r w:rsidRPr="002F720C">
        <w:rPr>
          <w:rFonts w:ascii="Times New Roman" w:eastAsia="Times New Roman" w:hAnsi="Times New Roman" w:cs="Times New Roman"/>
          <w:kern w:val="0"/>
          <w:sz w:val="26"/>
          <w:szCs w:val="26"/>
          <w14:ligatures w14:val="none"/>
        </w:rPr>
        <w:t>. Here we rely on argument. Here we allow emotion to surface. And we recognize the difference between the two.</w:t>
      </w:r>
    </w:p>
    <w:p w14:paraId="1051EAED" w14:textId="77777777" w:rsidR="002F720C" w:rsidRPr="002F720C" w:rsidRDefault="002F720C" w:rsidP="002F720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F720C">
        <w:rPr>
          <w:rFonts w:ascii="Times New Roman" w:eastAsia="Times New Roman" w:hAnsi="Times New Roman" w:cs="Times New Roman"/>
          <w:b/>
          <w:bCs/>
          <w:kern w:val="0"/>
          <w:sz w:val="26"/>
          <w:szCs w:val="26"/>
          <w14:ligatures w14:val="none"/>
        </w:rPr>
        <w:t>10. Joy</w:t>
      </w:r>
    </w:p>
    <w:p w14:paraId="31AE3F6B"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Finally, it is worth remembering that while many of these efforts demand time, labor, resources, and sometimes risk, they can also bring joy.</w:t>
      </w:r>
    </w:p>
    <w:p w14:paraId="04C3C3FE"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There is the joy of working with others who share one’s commitments. There is the satisfaction of tangible results, however modest they may seem against a larger and often tragic background. Taken together, these efforts begin to shift the context.</w:t>
      </w:r>
    </w:p>
    <w:p w14:paraId="65428BC3"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If such joy is felt, it need not be concealed. Positive emotions are contagious. In some cases, the experience of working together, and the constructive force of that work, may itself become part of the program.</w:t>
      </w:r>
    </w:p>
    <w:p w14:paraId="44F8A349" w14:textId="77777777" w:rsidR="002F720C" w:rsidRPr="002F720C" w:rsidRDefault="002F720C" w:rsidP="002F7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F720C">
        <w:rPr>
          <w:rFonts w:ascii="Times New Roman" w:eastAsia="Times New Roman" w:hAnsi="Times New Roman" w:cs="Times New Roman"/>
          <w:kern w:val="0"/>
          <w:sz w:val="26"/>
          <w:szCs w:val="26"/>
          <w14:ligatures w14:val="none"/>
        </w:rPr>
        <w:t>In time, it may prove to be an essential component of political life.</w:t>
      </w:r>
    </w:p>
    <w:p w14:paraId="694CB247" w14:textId="77777777" w:rsidR="002F720C" w:rsidRPr="002F720C" w:rsidRDefault="002F720C">
      <w:pPr>
        <w:rPr>
          <w:sz w:val="26"/>
          <w:szCs w:val="26"/>
        </w:rPr>
      </w:pPr>
    </w:p>
    <w:sectPr w:rsidR="002F720C" w:rsidRPr="002F72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0C"/>
    <w:rsid w:val="002F720C"/>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D9F9"/>
  <w15:chartTrackingRefBased/>
  <w15:docId w15:val="{E4E01C36-6750-0542-831D-7E37717C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7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7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0C"/>
    <w:rPr>
      <w:rFonts w:eastAsiaTheme="majorEastAsia" w:cstheme="majorBidi"/>
      <w:color w:val="272727" w:themeColor="text1" w:themeTint="D8"/>
    </w:rPr>
  </w:style>
  <w:style w:type="paragraph" w:styleId="Title">
    <w:name w:val="Title"/>
    <w:basedOn w:val="Normal"/>
    <w:next w:val="Normal"/>
    <w:link w:val="TitleChar"/>
    <w:uiPriority w:val="10"/>
    <w:qFormat/>
    <w:rsid w:val="002F7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0C"/>
    <w:pPr>
      <w:spacing w:before="160"/>
      <w:jc w:val="center"/>
    </w:pPr>
    <w:rPr>
      <w:i/>
      <w:iCs/>
      <w:color w:val="404040" w:themeColor="text1" w:themeTint="BF"/>
    </w:rPr>
  </w:style>
  <w:style w:type="character" w:customStyle="1" w:styleId="QuoteChar">
    <w:name w:val="Quote Char"/>
    <w:basedOn w:val="DefaultParagraphFont"/>
    <w:link w:val="Quote"/>
    <w:uiPriority w:val="29"/>
    <w:rsid w:val="002F720C"/>
    <w:rPr>
      <w:i/>
      <w:iCs/>
      <w:color w:val="404040" w:themeColor="text1" w:themeTint="BF"/>
    </w:rPr>
  </w:style>
  <w:style w:type="paragraph" w:styleId="ListParagraph">
    <w:name w:val="List Paragraph"/>
    <w:basedOn w:val="Normal"/>
    <w:uiPriority w:val="34"/>
    <w:qFormat/>
    <w:rsid w:val="002F720C"/>
    <w:pPr>
      <w:ind w:left="720"/>
      <w:contextualSpacing/>
    </w:pPr>
  </w:style>
  <w:style w:type="character" w:styleId="IntenseEmphasis">
    <w:name w:val="Intense Emphasis"/>
    <w:basedOn w:val="DefaultParagraphFont"/>
    <w:uiPriority w:val="21"/>
    <w:qFormat/>
    <w:rsid w:val="002F720C"/>
    <w:rPr>
      <w:i/>
      <w:iCs/>
      <w:color w:val="0F4761" w:themeColor="accent1" w:themeShade="BF"/>
    </w:rPr>
  </w:style>
  <w:style w:type="paragraph" w:styleId="IntenseQuote">
    <w:name w:val="Intense Quote"/>
    <w:basedOn w:val="Normal"/>
    <w:next w:val="Normal"/>
    <w:link w:val="IntenseQuoteChar"/>
    <w:uiPriority w:val="30"/>
    <w:qFormat/>
    <w:rsid w:val="002F7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20C"/>
    <w:rPr>
      <w:i/>
      <w:iCs/>
      <w:color w:val="0F4761" w:themeColor="accent1" w:themeShade="BF"/>
    </w:rPr>
  </w:style>
  <w:style w:type="character" w:styleId="IntenseReference">
    <w:name w:val="Intense Reference"/>
    <w:basedOn w:val="DefaultParagraphFont"/>
    <w:uiPriority w:val="32"/>
    <w:qFormat/>
    <w:rsid w:val="002F720C"/>
    <w:rPr>
      <w:b/>
      <w:bCs/>
      <w:smallCaps/>
      <w:color w:val="0F4761" w:themeColor="accent1" w:themeShade="BF"/>
      <w:spacing w:val="5"/>
    </w:rPr>
  </w:style>
  <w:style w:type="paragraph" w:styleId="NormalWeb">
    <w:name w:val="Normal (Web)"/>
    <w:basedOn w:val="Normal"/>
    <w:uiPriority w:val="99"/>
    <w:semiHidden/>
    <w:unhideWhenUsed/>
    <w:rsid w:val="002F7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720C"/>
    <w:rPr>
      <w:b/>
      <w:bCs/>
    </w:rPr>
  </w:style>
  <w:style w:type="character" w:styleId="Emphasis">
    <w:name w:val="Emphasis"/>
    <w:basedOn w:val="DefaultParagraphFont"/>
    <w:uiPriority w:val="20"/>
    <w:qFormat/>
    <w:rsid w:val="002F72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1797</Words>
  <Characters>9762</Characters>
  <Application>Microsoft Office Word</Application>
  <DocSecurity>0</DocSecurity>
  <Lines>157</Lines>
  <Paragraphs>66</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2026-03-17T14:16:00Z</dcterms:created>
  <dcterms:modified xsi:type="dcterms:W3CDTF">2026-03-17T14:20:00Z</dcterms:modified>
</cp:coreProperties>
</file>