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484A2" w14:textId="476EAB52" w:rsidR="00D13FFE" w:rsidRPr="00D13FFE" w:rsidRDefault="00D13FFE" w:rsidP="00D13FFE">
      <w:pPr>
        <w:spacing w:before="100" w:beforeAutospacing="1" w:after="100" w:afterAutospacing="1" w:line="240" w:lineRule="auto"/>
        <w:jc w:val="center"/>
        <w:rPr>
          <w:rFonts w:ascii="Times New Roman" w:eastAsia="Times New Roman" w:hAnsi="Times New Roman" w:cs="Times New Roman"/>
          <w:kern w:val="0"/>
          <w:sz w:val="40"/>
          <w:szCs w:val="40"/>
          <w14:ligatures w14:val="none"/>
        </w:rPr>
      </w:pPr>
      <w:r w:rsidRPr="00D13FFE">
        <w:rPr>
          <w:rFonts w:ascii="Times New Roman" w:eastAsia="Times New Roman" w:hAnsi="Times New Roman" w:cs="Times New Roman"/>
          <w:b/>
          <w:bCs/>
          <w:kern w:val="0"/>
          <w:sz w:val="40"/>
          <w:szCs w:val="40"/>
          <w14:ligatures w14:val="none"/>
        </w:rPr>
        <w:t>Maria Mayofis</w:t>
      </w:r>
      <w:r w:rsidRPr="00D13FFE">
        <w:rPr>
          <w:rFonts w:ascii="Times New Roman" w:eastAsia="Times New Roman" w:hAnsi="Times New Roman" w:cs="Times New Roman"/>
          <w:kern w:val="0"/>
          <w:sz w:val="40"/>
          <w:szCs w:val="40"/>
          <w14:ligatures w14:val="none"/>
        </w:rPr>
        <w:br/>
      </w:r>
      <w:r w:rsidRPr="00D13FFE">
        <w:rPr>
          <w:rFonts w:ascii="Times New Roman" w:eastAsia="Times New Roman" w:hAnsi="Times New Roman" w:cs="Times New Roman"/>
          <w:b/>
          <w:bCs/>
          <w:kern w:val="0"/>
          <w:sz w:val="40"/>
          <w:szCs w:val="40"/>
          <w14:ligatures w14:val="none"/>
        </w:rPr>
        <w:t>Everyone Stands Up. Everyone Sings</w:t>
      </w:r>
      <w:r w:rsidRPr="00D13FFE">
        <w:rPr>
          <w:rFonts w:ascii="Times New Roman" w:eastAsia="Times New Roman" w:hAnsi="Times New Roman" w:cs="Times New Roman"/>
          <w:b/>
          <w:bCs/>
          <w:kern w:val="0"/>
          <w:sz w:val="40"/>
          <w:szCs w:val="40"/>
          <w14:ligatures w14:val="none"/>
        </w:rPr>
        <w:t>*</w:t>
      </w:r>
    </w:p>
    <w:p w14:paraId="74C512C9" w14:textId="0D44F7D3" w:rsidR="00D13FFE" w:rsidRPr="00D13FFE" w:rsidRDefault="00D13FFE" w:rsidP="00D13FFE">
      <w:pPr>
        <w:spacing w:before="100" w:beforeAutospacing="1" w:after="100" w:afterAutospacing="1" w:line="240" w:lineRule="auto"/>
        <w:rPr>
          <w:rFonts w:ascii="Times New Roman" w:eastAsia="Times New Roman" w:hAnsi="Times New Roman" w:cs="Times New Roman"/>
          <w:i/>
          <w:iCs/>
          <w:kern w:val="0"/>
          <w:sz w:val="26"/>
          <w:szCs w:val="26"/>
          <w14:ligatures w14:val="none"/>
        </w:rPr>
      </w:pPr>
      <w:r w:rsidRPr="00D13FFE">
        <w:rPr>
          <w:rFonts w:ascii="Times New Roman" w:eastAsia="Times New Roman" w:hAnsi="Times New Roman" w:cs="Times New Roman"/>
          <w:i/>
          <w:iCs/>
          <w:kern w:val="0"/>
          <w:sz w:val="26"/>
          <w:szCs w:val="26"/>
          <w14:ligatures w14:val="none"/>
        </w:rPr>
        <w:t>C</w:t>
      </w:r>
      <w:r w:rsidRPr="00D13FFE">
        <w:rPr>
          <w:rFonts w:ascii="Times New Roman" w:eastAsia="Times New Roman" w:hAnsi="Times New Roman" w:cs="Times New Roman"/>
          <w:i/>
          <w:iCs/>
          <w:kern w:val="0"/>
          <w:sz w:val="26"/>
          <w:szCs w:val="26"/>
          <w14:ligatures w14:val="none"/>
        </w:rPr>
        <w:t>olta.ru</w:t>
      </w:r>
      <w:r w:rsidRPr="00D13FFE">
        <w:rPr>
          <w:rFonts w:ascii="Times New Roman" w:eastAsia="Times New Roman" w:hAnsi="Times New Roman" w:cs="Times New Roman"/>
          <w:i/>
          <w:iCs/>
          <w:kern w:val="0"/>
          <w:sz w:val="26"/>
          <w:szCs w:val="26"/>
          <w14:ligatures w14:val="none"/>
        </w:rPr>
        <w:t>: March 12, 2014</w:t>
      </w:r>
    </w:p>
    <w:p w14:paraId="6B534683" w14:textId="77777777"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p>
    <w:p w14:paraId="02E13836" w14:textId="31AD95A9" w:rsidR="00D13FFE" w:rsidRPr="00D13FFE" w:rsidRDefault="00D13FFE" w:rsidP="00D13FFE">
      <w:pPr>
        <w:spacing w:before="100" w:beforeAutospacing="1" w:after="100" w:afterAutospacing="1" w:line="240" w:lineRule="auto"/>
        <w:jc w:val="center"/>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Maria Mayofis on what the sound of trumpets and trombones resonates with today, and what the domras and balalaikas resonate with</w:t>
      </w:r>
      <w:r w:rsidRPr="00D13FFE">
        <w:rPr>
          <w:rFonts w:ascii="Times New Roman" w:eastAsia="Times New Roman" w:hAnsi="Times New Roman" w:cs="Times New Roman"/>
          <w:kern w:val="0"/>
          <w:sz w:val="26"/>
          <w:szCs w:val="26"/>
          <w14:ligatures w14:val="none"/>
        </w:rPr>
        <w:br/>
      </w:r>
    </w:p>
    <w:p w14:paraId="15361EC0" w14:textId="0806CC90"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w:t>
      </w:r>
      <w:r w:rsidRPr="00D13FFE">
        <w:rPr>
          <w:rFonts w:ascii="Times New Roman" w:eastAsia="Times New Roman" w:hAnsi="Times New Roman" w:cs="Times New Roman"/>
          <w:kern w:val="0"/>
          <w:sz w:val="26"/>
          <w:szCs w:val="26"/>
          <w14:ligatures w14:val="none"/>
        </w:rPr>
        <w:t xml:space="preserve">The title is a quotation from Yan </w:t>
      </w:r>
      <w:proofErr w:type="spellStart"/>
      <w:r w:rsidRPr="00D13FFE">
        <w:rPr>
          <w:rFonts w:ascii="Times New Roman" w:eastAsia="Times New Roman" w:hAnsi="Times New Roman" w:cs="Times New Roman"/>
          <w:kern w:val="0"/>
          <w:sz w:val="26"/>
          <w:szCs w:val="26"/>
          <w14:ligatures w14:val="none"/>
        </w:rPr>
        <w:t>Satunovsky’s</w:t>
      </w:r>
      <w:proofErr w:type="spellEnd"/>
      <w:r w:rsidRPr="00D13FFE">
        <w:rPr>
          <w:rFonts w:ascii="Times New Roman" w:eastAsia="Times New Roman" w:hAnsi="Times New Roman" w:cs="Times New Roman"/>
          <w:kern w:val="0"/>
          <w:sz w:val="26"/>
          <w:szCs w:val="26"/>
          <w14:ligatures w14:val="none"/>
        </w:rPr>
        <w:t xml:space="preserve"> poem “Dear </w:t>
      </w:r>
      <w:proofErr w:type="spellStart"/>
      <w:proofErr w:type="gramStart"/>
      <w:r w:rsidRPr="00D13FFE">
        <w:rPr>
          <w:rFonts w:ascii="Times New Roman" w:eastAsia="Times New Roman" w:hAnsi="Times New Roman" w:cs="Times New Roman"/>
          <w:kern w:val="0"/>
          <w:sz w:val="26"/>
          <w:szCs w:val="26"/>
          <w14:ligatures w14:val="none"/>
        </w:rPr>
        <w:t>Matusovsky</w:t>
      </w:r>
      <w:proofErr w:type="spellEnd"/>
      <w:r w:rsidRPr="00D13FFE">
        <w:rPr>
          <w:rFonts w:ascii="Times New Roman" w:eastAsia="Times New Roman" w:hAnsi="Times New Roman" w:cs="Times New Roman"/>
          <w:kern w:val="0"/>
          <w:sz w:val="26"/>
          <w:szCs w:val="26"/>
          <w14:ligatures w14:val="none"/>
        </w:rPr>
        <w:t>!,</w:t>
      </w:r>
      <w:proofErr w:type="gramEnd"/>
      <w:r w:rsidRPr="00D13FFE">
        <w:rPr>
          <w:rFonts w:ascii="Times New Roman" w:eastAsia="Times New Roman" w:hAnsi="Times New Roman" w:cs="Times New Roman"/>
          <w:kern w:val="0"/>
          <w:sz w:val="26"/>
          <w:szCs w:val="26"/>
          <w14:ligatures w14:val="none"/>
        </w:rPr>
        <w:t xml:space="preserve">” written in the same year, 1970, when the </w:t>
      </w:r>
      <w:proofErr w:type="spellStart"/>
      <w:r w:rsidRPr="00D13FFE">
        <w:rPr>
          <w:rFonts w:ascii="Times New Roman" w:eastAsia="Times New Roman" w:hAnsi="Times New Roman" w:cs="Times New Roman"/>
          <w:i/>
          <w:iCs/>
          <w:kern w:val="0"/>
          <w:sz w:val="26"/>
          <w:szCs w:val="26"/>
          <w14:ligatures w14:val="none"/>
        </w:rPr>
        <w:t>Goluboi</w:t>
      </w:r>
      <w:proofErr w:type="spellEnd"/>
      <w:r w:rsidRPr="00D13FFE">
        <w:rPr>
          <w:rFonts w:ascii="Times New Roman" w:eastAsia="Times New Roman" w:hAnsi="Times New Roman" w:cs="Times New Roman"/>
          <w:i/>
          <w:iCs/>
          <w:kern w:val="0"/>
          <w:sz w:val="26"/>
          <w:szCs w:val="26"/>
          <w14:ligatures w14:val="none"/>
        </w:rPr>
        <w:t xml:space="preserve"> </w:t>
      </w:r>
      <w:proofErr w:type="spellStart"/>
      <w:r w:rsidRPr="00D13FFE">
        <w:rPr>
          <w:rFonts w:ascii="Times New Roman" w:eastAsia="Times New Roman" w:hAnsi="Times New Roman" w:cs="Times New Roman"/>
          <w:i/>
          <w:iCs/>
          <w:kern w:val="0"/>
          <w:sz w:val="26"/>
          <w:szCs w:val="26"/>
          <w14:ligatures w14:val="none"/>
        </w:rPr>
        <w:t>ogonyok</w:t>
      </w:r>
      <w:proofErr w:type="spellEnd"/>
      <w:r w:rsidRPr="00D13FFE">
        <w:rPr>
          <w:rFonts w:ascii="Times New Roman" w:eastAsia="Times New Roman" w:hAnsi="Times New Roman" w:cs="Times New Roman"/>
          <w:kern w:val="0"/>
          <w:sz w:val="26"/>
          <w:szCs w:val="26"/>
          <w14:ligatures w14:val="none"/>
        </w:rPr>
        <w:t xml:space="preserve"> </w:t>
      </w:r>
      <w:r w:rsidRPr="00D13FFE">
        <w:rPr>
          <w:rFonts w:ascii="Times New Roman" w:eastAsia="Times New Roman" w:hAnsi="Times New Roman" w:cs="Times New Roman"/>
          <w:kern w:val="0"/>
          <w:sz w:val="26"/>
          <w:szCs w:val="26"/>
          <w14:ligatures w14:val="none"/>
        </w:rPr>
        <w:t xml:space="preserve">(“Little Blue Light”) </w:t>
      </w:r>
      <w:r w:rsidRPr="00D13FFE">
        <w:rPr>
          <w:rFonts w:ascii="Times New Roman" w:eastAsia="Times New Roman" w:hAnsi="Times New Roman" w:cs="Times New Roman"/>
          <w:kern w:val="0"/>
          <w:sz w:val="26"/>
          <w:szCs w:val="26"/>
          <w14:ligatures w14:val="none"/>
        </w:rPr>
        <w:t>broadcast featuring “Song of the Dnieper” was recorded.</w:t>
      </w:r>
    </w:p>
    <w:p w14:paraId="584668E5" w14:textId="0CE3F471" w:rsidR="00D13FFE" w:rsidRPr="00D13FFE" w:rsidRDefault="00D13FFE" w:rsidP="00D13FFE">
      <w:pPr>
        <w:spacing w:after="0" w:line="240" w:lineRule="auto"/>
        <w:rPr>
          <w:rFonts w:ascii="Times New Roman" w:eastAsia="Times New Roman" w:hAnsi="Times New Roman" w:cs="Times New Roman"/>
          <w:kern w:val="0"/>
          <w:sz w:val="26"/>
          <w:szCs w:val="26"/>
          <w14:ligatures w14:val="none"/>
        </w:rPr>
      </w:pPr>
    </w:p>
    <w:p w14:paraId="2032EC10" w14:textId="1CE885C4"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 xml:space="preserve">Among the posts and reposts that have been flickering across social media in recent days, there was one that made me pause and think about the aesthetic origins of the current wave of patriotic fervor. It was a recording of “Song of the Dnieper,” composed by Mark Fradkin with lyrics by Evgeny Dolmatovsky, most likely taken from a 1970 </w:t>
      </w:r>
      <w:proofErr w:type="spellStart"/>
      <w:r w:rsidRPr="00D13FFE">
        <w:rPr>
          <w:rFonts w:ascii="Times New Roman" w:eastAsia="Times New Roman" w:hAnsi="Times New Roman" w:cs="Times New Roman"/>
          <w:i/>
          <w:iCs/>
          <w:kern w:val="0"/>
          <w:sz w:val="26"/>
          <w:szCs w:val="26"/>
          <w14:ligatures w14:val="none"/>
        </w:rPr>
        <w:t>Goluboi</w:t>
      </w:r>
      <w:proofErr w:type="spellEnd"/>
      <w:r w:rsidRPr="00D13FFE">
        <w:rPr>
          <w:rFonts w:ascii="Times New Roman" w:eastAsia="Times New Roman" w:hAnsi="Times New Roman" w:cs="Times New Roman"/>
          <w:i/>
          <w:iCs/>
          <w:kern w:val="0"/>
          <w:sz w:val="26"/>
          <w:szCs w:val="26"/>
          <w14:ligatures w14:val="none"/>
        </w:rPr>
        <w:t xml:space="preserve"> </w:t>
      </w:r>
      <w:proofErr w:type="spellStart"/>
      <w:r w:rsidRPr="00D13FFE">
        <w:rPr>
          <w:rFonts w:ascii="Times New Roman" w:eastAsia="Times New Roman" w:hAnsi="Times New Roman" w:cs="Times New Roman"/>
          <w:i/>
          <w:iCs/>
          <w:kern w:val="0"/>
          <w:sz w:val="26"/>
          <w:szCs w:val="26"/>
          <w14:ligatures w14:val="none"/>
        </w:rPr>
        <w:t>ogonyok</w:t>
      </w:r>
      <w:proofErr w:type="spellEnd"/>
      <w:r w:rsidRPr="00D13FFE">
        <w:rPr>
          <w:rFonts w:ascii="Times New Roman" w:eastAsia="Times New Roman" w:hAnsi="Times New Roman" w:cs="Times New Roman"/>
          <w:kern w:val="0"/>
          <w:sz w:val="26"/>
          <w:szCs w:val="26"/>
          <w14:ligatures w14:val="none"/>
        </w:rPr>
        <w:t xml:space="preserve"> (“Little Blue Light”) </w:t>
      </w:r>
      <w:r w:rsidRPr="00D13FFE">
        <w:rPr>
          <w:rFonts w:ascii="Times New Roman" w:eastAsia="Times New Roman" w:hAnsi="Times New Roman" w:cs="Times New Roman"/>
          <w:kern w:val="0"/>
          <w:sz w:val="26"/>
          <w:szCs w:val="26"/>
          <w14:ligatures w14:val="none"/>
        </w:rPr>
        <w:t xml:space="preserve">[1] </w:t>
      </w:r>
      <w:r w:rsidRPr="00D13FFE">
        <w:rPr>
          <w:rFonts w:ascii="Times New Roman" w:eastAsia="Times New Roman" w:hAnsi="Times New Roman" w:cs="Times New Roman"/>
          <w:kern w:val="0"/>
          <w:sz w:val="26"/>
          <w:szCs w:val="26"/>
          <w14:ligatures w14:val="none"/>
        </w:rPr>
        <w:t>broadcast marking the twenty fifth anniversary of Victory.</w:t>
      </w:r>
    </w:p>
    <w:p w14:paraId="5C96F79B" w14:textId="77777777"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 xml:space="preserve">At first, the composer and the song’s early performers, Ostap Dorchuk and Pavel Karmalyuk, recall how they first performed it and what they felt at the time. Then the performance itself begins. Fradkin sits down at a grand piano placed among the tables and accompanies Dorchuk and </w:t>
      </w:r>
      <w:proofErr w:type="spellStart"/>
      <w:r w:rsidRPr="00D13FFE">
        <w:rPr>
          <w:rFonts w:ascii="Times New Roman" w:eastAsia="Times New Roman" w:hAnsi="Times New Roman" w:cs="Times New Roman"/>
          <w:kern w:val="0"/>
          <w:sz w:val="26"/>
          <w:szCs w:val="26"/>
          <w14:ligatures w14:val="none"/>
        </w:rPr>
        <w:t>Karmalyuk</w:t>
      </w:r>
      <w:proofErr w:type="spellEnd"/>
      <w:r w:rsidRPr="00D13FFE">
        <w:rPr>
          <w:rFonts w:ascii="Times New Roman" w:eastAsia="Times New Roman" w:hAnsi="Times New Roman" w:cs="Times New Roman"/>
          <w:kern w:val="0"/>
          <w:sz w:val="26"/>
          <w:szCs w:val="26"/>
          <w14:ligatures w14:val="none"/>
        </w:rPr>
        <w:t xml:space="preserve"> as they sing the first and second verses in turn. The “studio guests,” military men and veterans, nod approvingly, exchange remarks, smile.</w:t>
      </w:r>
    </w:p>
    <w:p w14:paraId="26A5CE53" w14:textId="1621D76C"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 xml:space="preserve">Then, during the third verse, the camera turns toward the stage, where the Song and Dance Ensemble of the Soviet Army under B. A. Alexandrov has been arranged: soloist, choir, and orchestra, with the </w:t>
      </w:r>
      <w:r w:rsidRPr="00D13FFE">
        <w:rPr>
          <w:rFonts w:ascii="Times New Roman" w:eastAsia="Times New Roman" w:hAnsi="Times New Roman" w:cs="Times New Roman"/>
          <w:kern w:val="0"/>
          <w:sz w:val="26"/>
          <w:szCs w:val="26"/>
          <w14:ligatures w14:val="none"/>
        </w:rPr>
        <w:t>grey-haired</w:t>
      </w:r>
      <w:r w:rsidRPr="00D13FFE">
        <w:rPr>
          <w:rFonts w:ascii="Times New Roman" w:eastAsia="Times New Roman" w:hAnsi="Times New Roman" w:cs="Times New Roman"/>
          <w:kern w:val="0"/>
          <w:sz w:val="26"/>
          <w:szCs w:val="26"/>
          <w14:ligatures w14:val="none"/>
        </w:rPr>
        <w:t xml:space="preserve"> conductor at the center.</w:t>
      </w:r>
    </w:p>
    <w:p w14:paraId="41E917E6" w14:textId="01EC5ECE"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 xml:space="preserve">The orchestral makeup of the Alexandrov Ensemble is </w:t>
      </w:r>
      <w:r w:rsidRPr="00D13FFE">
        <w:rPr>
          <w:rFonts w:ascii="Times New Roman" w:eastAsia="Times New Roman" w:hAnsi="Times New Roman" w:cs="Times New Roman"/>
          <w:kern w:val="0"/>
          <w:sz w:val="26"/>
          <w:szCs w:val="26"/>
          <w14:ligatures w14:val="none"/>
        </w:rPr>
        <w:t>revealing</w:t>
      </w:r>
      <w:r w:rsidRPr="00D13FFE">
        <w:rPr>
          <w:rFonts w:ascii="Times New Roman" w:eastAsia="Times New Roman" w:hAnsi="Times New Roman" w:cs="Times New Roman"/>
          <w:kern w:val="0"/>
          <w:sz w:val="26"/>
          <w:szCs w:val="26"/>
          <w14:ligatures w14:val="none"/>
        </w:rPr>
        <w:t xml:space="preserve"> folk instruments</w:t>
      </w:r>
      <w:r w:rsidRPr="00D13FFE">
        <w:rPr>
          <w:rFonts w:ascii="Times New Roman" w:eastAsia="Times New Roman" w:hAnsi="Times New Roman" w:cs="Times New Roman"/>
          <w:kern w:val="0"/>
          <w:sz w:val="26"/>
          <w:szCs w:val="26"/>
          <w14:ligatures w14:val="none"/>
        </w:rPr>
        <w:t xml:space="preserve"> </w:t>
      </w:r>
      <w:r w:rsidRPr="00D13FFE">
        <w:rPr>
          <w:rFonts w:ascii="Times New Roman" w:eastAsia="Times New Roman" w:hAnsi="Times New Roman" w:cs="Times New Roman"/>
          <w:kern w:val="0"/>
          <w:sz w:val="26"/>
          <w:szCs w:val="26"/>
          <w14:ligatures w14:val="none"/>
        </w:rPr>
        <w:t>[</w:t>
      </w:r>
      <w:r w:rsidRPr="00D13FFE">
        <w:rPr>
          <w:rFonts w:ascii="Times New Roman" w:eastAsia="Times New Roman" w:hAnsi="Times New Roman" w:cs="Times New Roman"/>
          <w:kern w:val="0"/>
          <w:sz w:val="26"/>
          <w:szCs w:val="26"/>
          <w14:ligatures w14:val="none"/>
        </w:rPr>
        <w:t>2</w:t>
      </w:r>
      <w:r w:rsidRPr="00D13FFE">
        <w:rPr>
          <w:rFonts w:ascii="Times New Roman" w:eastAsia="Times New Roman" w:hAnsi="Times New Roman" w:cs="Times New Roman"/>
          <w:kern w:val="0"/>
          <w:sz w:val="26"/>
          <w:szCs w:val="26"/>
          <w14:ligatures w14:val="none"/>
        </w:rPr>
        <w:t>] such as plucked strings and bayans, alongside woodwinds and brass. At first, the choir and soloist sing pianissimo to a gentle balalaika accompaniment:</w:t>
      </w:r>
    </w:p>
    <w:p w14:paraId="2646B2EA" w14:textId="77777777"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“O Dnipro, Dnipro, you flow afar,</w:t>
      </w:r>
      <w:r w:rsidRPr="00D13FFE">
        <w:rPr>
          <w:rFonts w:ascii="Times New Roman" w:eastAsia="Times New Roman" w:hAnsi="Times New Roman" w:cs="Times New Roman"/>
          <w:kern w:val="0"/>
          <w:sz w:val="26"/>
          <w:szCs w:val="26"/>
          <w14:ligatures w14:val="none"/>
        </w:rPr>
        <w:br/>
        <w:t>And your wave is like a tear…”</w:t>
      </w:r>
    </w:p>
    <w:p w14:paraId="014A851E" w14:textId="77777777"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lastRenderedPageBreak/>
        <w:t>The choir takes up the line entirely a cappella, in an arrangement that closely resembles male church singing. Alexandrov the elder, who prepared the first recording of Fradkin’s song in 1942, had served as choirmaster at the Cathedral of Christ the Savior from 1918 to 1922 and possessed this idiom perfectly.</w:t>
      </w:r>
    </w:p>
    <w:p w14:paraId="22E175AA" w14:textId="658F9D98"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 xml:space="preserve">The listener is first given an image of a “folk voice,” a “folk melody” about the lost Dnieper, then an image of a spiritual song. But the piece does not end there. The fourth verse begins, telling how the Dnieper was retaken by Soviet troops. The tempo </w:t>
      </w:r>
      <w:r w:rsidRPr="00D13FFE">
        <w:rPr>
          <w:rFonts w:ascii="Times New Roman" w:eastAsia="Times New Roman" w:hAnsi="Times New Roman" w:cs="Times New Roman"/>
          <w:kern w:val="0"/>
          <w:sz w:val="26"/>
          <w:szCs w:val="26"/>
          <w14:ligatures w14:val="none"/>
        </w:rPr>
        <w:t>quickens;</w:t>
      </w:r>
      <w:r w:rsidRPr="00D13FFE">
        <w:rPr>
          <w:rFonts w:ascii="Times New Roman" w:eastAsia="Times New Roman" w:hAnsi="Times New Roman" w:cs="Times New Roman"/>
          <w:kern w:val="0"/>
          <w:sz w:val="26"/>
          <w:szCs w:val="26"/>
          <w14:ligatures w14:val="none"/>
        </w:rPr>
        <w:t xml:space="preserve"> the soloist intensifies his voice. Then comes the coda:</w:t>
      </w:r>
    </w:p>
    <w:p w14:paraId="3E6BC337" w14:textId="77777777"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“The glorious hour has come,</w:t>
      </w:r>
      <w:r w:rsidRPr="00D13FFE">
        <w:rPr>
          <w:rFonts w:ascii="Times New Roman" w:eastAsia="Times New Roman" w:hAnsi="Times New Roman" w:cs="Times New Roman"/>
          <w:kern w:val="0"/>
          <w:sz w:val="26"/>
          <w:szCs w:val="26"/>
          <w14:ligatures w14:val="none"/>
        </w:rPr>
        <w:br/>
        <w:t>We moved forward,</w:t>
      </w:r>
      <w:r w:rsidRPr="00D13FFE">
        <w:rPr>
          <w:rFonts w:ascii="Times New Roman" w:eastAsia="Times New Roman" w:hAnsi="Times New Roman" w:cs="Times New Roman"/>
          <w:kern w:val="0"/>
          <w:sz w:val="26"/>
          <w:szCs w:val="26"/>
          <w14:ligatures w14:val="none"/>
        </w:rPr>
        <w:br/>
        <w:t>And once again we saw you…”</w:t>
      </w:r>
    </w:p>
    <w:p w14:paraId="472CECC2" w14:textId="77777777"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The choir repeats these lines with full orchestral support, the brass now increasingly prominent.</w:t>
      </w:r>
    </w:p>
    <w:p w14:paraId="2183B38F" w14:textId="77777777"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“Let the blood of fascist curs</w:t>
      </w:r>
      <w:r w:rsidRPr="00D13FFE">
        <w:rPr>
          <w:rFonts w:ascii="Times New Roman" w:eastAsia="Times New Roman" w:hAnsi="Times New Roman" w:cs="Times New Roman"/>
          <w:kern w:val="0"/>
          <w:sz w:val="26"/>
          <w:szCs w:val="26"/>
          <w14:ligatures w14:val="none"/>
        </w:rPr>
        <w:br/>
        <w:t>Flow like a river,</w:t>
      </w:r>
      <w:r w:rsidRPr="00D13FFE">
        <w:rPr>
          <w:rFonts w:ascii="Times New Roman" w:eastAsia="Times New Roman" w:hAnsi="Times New Roman" w:cs="Times New Roman"/>
          <w:kern w:val="0"/>
          <w:sz w:val="26"/>
          <w:szCs w:val="26"/>
          <w14:ligatures w14:val="none"/>
        </w:rPr>
        <w:br/>
        <w:t>The enemy will not take</w:t>
      </w:r>
      <w:r w:rsidRPr="00D13FFE">
        <w:rPr>
          <w:rFonts w:ascii="Times New Roman" w:eastAsia="Times New Roman" w:hAnsi="Times New Roman" w:cs="Times New Roman"/>
          <w:kern w:val="0"/>
          <w:sz w:val="26"/>
          <w:szCs w:val="26"/>
          <w14:ligatures w14:val="none"/>
        </w:rPr>
        <w:br/>
        <w:t>The Soviet land…”</w:t>
      </w:r>
    </w:p>
    <w:p w14:paraId="548C29B3" w14:textId="77777777"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 xml:space="preserve">The ensemble sings this solemnly at fortissimo. The camera catches </w:t>
      </w:r>
      <w:proofErr w:type="gramStart"/>
      <w:r w:rsidRPr="00D13FFE">
        <w:rPr>
          <w:rFonts w:ascii="Times New Roman" w:eastAsia="Times New Roman" w:hAnsi="Times New Roman" w:cs="Times New Roman"/>
          <w:kern w:val="0"/>
          <w:sz w:val="26"/>
          <w:szCs w:val="26"/>
          <w14:ligatures w14:val="none"/>
        </w:rPr>
        <w:t>faces</w:t>
      </w:r>
      <w:proofErr w:type="gramEnd"/>
      <w:r w:rsidRPr="00D13FFE">
        <w:rPr>
          <w:rFonts w:ascii="Times New Roman" w:eastAsia="Times New Roman" w:hAnsi="Times New Roman" w:cs="Times New Roman"/>
          <w:kern w:val="0"/>
          <w:sz w:val="26"/>
          <w:szCs w:val="26"/>
          <w14:ligatures w14:val="none"/>
        </w:rPr>
        <w:t xml:space="preserve"> in the audience, men and women with tears in their eyes. The song ends in a full fortissimo of both choir and orchestra, with continuous fanfare from the brass, now merging with domras and balalaikas in a single surge:</w:t>
      </w:r>
    </w:p>
    <w:p w14:paraId="20288D13" w14:textId="77777777"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“Like the springtime Dnieper,</w:t>
      </w:r>
      <w:r w:rsidRPr="00D13FFE">
        <w:rPr>
          <w:rFonts w:ascii="Times New Roman" w:eastAsia="Times New Roman" w:hAnsi="Times New Roman" w:cs="Times New Roman"/>
          <w:kern w:val="0"/>
          <w:sz w:val="26"/>
          <w:szCs w:val="26"/>
          <w14:ligatures w14:val="none"/>
        </w:rPr>
        <w:br/>
        <w:t>Our army,</w:t>
      </w:r>
      <w:r w:rsidRPr="00D13FFE">
        <w:rPr>
          <w:rFonts w:ascii="Times New Roman" w:eastAsia="Times New Roman" w:hAnsi="Times New Roman" w:cs="Times New Roman"/>
          <w:kern w:val="0"/>
          <w:sz w:val="26"/>
          <w:szCs w:val="26"/>
          <w14:ligatures w14:val="none"/>
        </w:rPr>
        <w:br/>
        <w:t>Our people</w:t>
      </w:r>
      <w:r w:rsidRPr="00D13FFE">
        <w:rPr>
          <w:rFonts w:ascii="Times New Roman" w:eastAsia="Times New Roman" w:hAnsi="Times New Roman" w:cs="Times New Roman"/>
          <w:kern w:val="0"/>
          <w:sz w:val="26"/>
          <w:szCs w:val="26"/>
          <w14:ligatures w14:val="none"/>
        </w:rPr>
        <w:br/>
        <w:t>Will sweep all enemies away.”</w:t>
      </w:r>
    </w:p>
    <w:p w14:paraId="4EB8CB99" w14:textId="77777777"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On the final chords, the camera lingers on the sculpturally still faces of the original performers, Ostap Dorchuk and Pavel Karmalyuk.</w:t>
      </w:r>
    </w:p>
    <w:p w14:paraId="2267812E" w14:textId="77777777"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What interests me here is precisely this symbolic combination of instruments in the accompaniment of the Red Banner Ensemble: the fusion of military brass and folk orchestra, which, it seems to me, produced, and perhaps still produces, such a powerful emotional effect on listeners.</w:t>
      </w:r>
    </w:p>
    <w:p w14:paraId="77D377F5" w14:textId="77777777"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 xml:space="preserve">The history of the Alexandrov Ensemble’s stage and musical image is a history of how the image of the army was aesthetically and socially constructed in relation to “the people as a whole.” If we look closely at early recordings from the period when the ensemble </w:t>
      </w:r>
      <w:r w:rsidRPr="00D13FFE">
        <w:rPr>
          <w:rFonts w:ascii="Times New Roman" w:eastAsia="Times New Roman" w:hAnsi="Times New Roman" w:cs="Times New Roman"/>
          <w:kern w:val="0"/>
          <w:sz w:val="26"/>
          <w:szCs w:val="26"/>
          <w14:ligatures w14:val="none"/>
        </w:rPr>
        <w:lastRenderedPageBreak/>
        <w:t>was known, from 1928 to 1935, as the Red Army Song Ensemble of the Frunze Central House of the Red Army, we see that the army choir is simply one variant of the folk choir, and the army itself appears as “the people” in uniform. Lively young men sing to the accompaniment of accordion players or a balalaika orchestra.</w:t>
      </w:r>
    </w:p>
    <w:p w14:paraId="06ADDF54" w14:textId="77777777"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 xml:space="preserve">By the second half of the 1930s, when the ensemble acquired a new status and became the Red Banner Song and Dance Ensemble of the USSR, both its sound and its image of the army begin to change. Even in marches that closely imitate </w:t>
      </w:r>
      <w:proofErr w:type="spellStart"/>
      <w:proofErr w:type="gramStart"/>
      <w:r w:rsidRPr="00D13FFE">
        <w:rPr>
          <w:rFonts w:ascii="Times New Roman" w:eastAsia="Times New Roman" w:hAnsi="Times New Roman" w:cs="Times New Roman"/>
          <w:kern w:val="0"/>
          <w:sz w:val="26"/>
          <w:szCs w:val="26"/>
          <w14:ligatures w14:val="none"/>
        </w:rPr>
        <w:t>pre revolutionary</w:t>
      </w:r>
      <w:proofErr w:type="spellEnd"/>
      <w:proofErr w:type="gramEnd"/>
      <w:r w:rsidRPr="00D13FFE">
        <w:rPr>
          <w:rFonts w:ascii="Times New Roman" w:eastAsia="Times New Roman" w:hAnsi="Times New Roman" w:cs="Times New Roman"/>
          <w:kern w:val="0"/>
          <w:sz w:val="26"/>
          <w:szCs w:val="26"/>
          <w14:ligatures w14:val="none"/>
        </w:rPr>
        <w:t xml:space="preserve"> military models, a trumpet is added behind the traditional accordion and the </w:t>
      </w:r>
      <w:proofErr w:type="gramStart"/>
      <w:r w:rsidRPr="00D13FFE">
        <w:rPr>
          <w:rFonts w:ascii="Times New Roman" w:eastAsia="Times New Roman" w:hAnsi="Times New Roman" w:cs="Times New Roman"/>
          <w:kern w:val="0"/>
          <w:sz w:val="26"/>
          <w:szCs w:val="26"/>
          <w14:ligatures w14:val="none"/>
        </w:rPr>
        <w:t>good natured</w:t>
      </w:r>
      <w:proofErr w:type="gramEnd"/>
      <w:r w:rsidRPr="00D13FFE">
        <w:rPr>
          <w:rFonts w:ascii="Times New Roman" w:eastAsia="Times New Roman" w:hAnsi="Times New Roman" w:cs="Times New Roman"/>
          <w:kern w:val="0"/>
          <w:sz w:val="26"/>
          <w:szCs w:val="26"/>
          <w14:ligatures w14:val="none"/>
        </w:rPr>
        <w:t xml:space="preserve"> voices of soldier singers. It functions here as a sign of militancy and resolve.</w:t>
      </w:r>
    </w:p>
    <w:p w14:paraId="575D4D97" w14:textId="77777777"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Further changes occur rapidly, within a year or two. Now the singers are no longer good natured “men of the people.” In 1937 a soloist begins briskly:</w:t>
      </w:r>
    </w:p>
    <w:p w14:paraId="31767CE9" w14:textId="77777777"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“Along familiar roads,</w:t>
      </w:r>
      <w:r w:rsidRPr="00D13FFE">
        <w:rPr>
          <w:rFonts w:ascii="Times New Roman" w:eastAsia="Times New Roman" w:hAnsi="Times New Roman" w:cs="Times New Roman"/>
          <w:kern w:val="0"/>
          <w:sz w:val="26"/>
          <w:szCs w:val="26"/>
          <w14:ligatures w14:val="none"/>
        </w:rPr>
        <w:br/>
        <w:t>Following our beloved Commissar,</w:t>
      </w:r>
      <w:r w:rsidRPr="00D13FFE">
        <w:rPr>
          <w:rFonts w:ascii="Times New Roman" w:eastAsia="Times New Roman" w:hAnsi="Times New Roman" w:cs="Times New Roman"/>
          <w:kern w:val="0"/>
          <w:sz w:val="26"/>
          <w:szCs w:val="26"/>
          <w14:ligatures w14:val="none"/>
        </w:rPr>
        <w:br/>
        <w:t>We will lead our war horses…”</w:t>
      </w:r>
    </w:p>
    <w:p w14:paraId="29A2D56E" w14:textId="77777777"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His readiness to act in precisely this way, “if new wars pour into our peaceful land,” is confirmed by an orchestral interlude in which plucked instruments are almost entirely drowned out by winds.</w:t>
      </w:r>
    </w:p>
    <w:p w14:paraId="66E2AE2E" w14:textId="12BCE32F"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 xml:space="preserve">We are now faced with a different collective. Not cheerful representatives of a </w:t>
      </w:r>
      <w:proofErr w:type="gramStart"/>
      <w:r w:rsidRPr="00D13FFE">
        <w:rPr>
          <w:rFonts w:ascii="Times New Roman" w:eastAsia="Times New Roman" w:hAnsi="Times New Roman" w:cs="Times New Roman"/>
          <w:kern w:val="0"/>
          <w:sz w:val="26"/>
          <w:szCs w:val="26"/>
          <w14:ligatures w14:val="none"/>
        </w:rPr>
        <w:t>peace loving</w:t>
      </w:r>
      <w:proofErr w:type="gramEnd"/>
      <w:r w:rsidRPr="00D13FFE">
        <w:rPr>
          <w:rFonts w:ascii="Times New Roman" w:eastAsia="Times New Roman" w:hAnsi="Times New Roman" w:cs="Times New Roman"/>
          <w:kern w:val="0"/>
          <w:sz w:val="26"/>
          <w:szCs w:val="26"/>
          <w14:ligatures w14:val="none"/>
        </w:rPr>
        <w:t xml:space="preserve"> people who have already fought their civil war, but armed, both verbally and therefore in reality, with airplanes, tanks, and the old </w:t>
      </w:r>
      <w:proofErr w:type="spellStart"/>
      <w:r w:rsidRPr="00D13FFE">
        <w:rPr>
          <w:rFonts w:ascii="Times New Roman" w:eastAsia="Times New Roman" w:hAnsi="Times New Roman" w:cs="Times New Roman"/>
          <w:kern w:val="0"/>
          <w:sz w:val="26"/>
          <w:szCs w:val="26"/>
          <w14:ligatures w14:val="none"/>
        </w:rPr>
        <w:t>tachankas</w:t>
      </w:r>
      <w:proofErr w:type="spellEnd"/>
      <w:r w:rsidRPr="00D13FFE">
        <w:rPr>
          <w:rFonts w:ascii="Times New Roman" w:eastAsia="Times New Roman" w:hAnsi="Times New Roman" w:cs="Times New Roman"/>
          <w:kern w:val="0"/>
          <w:sz w:val="26"/>
          <w:szCs w:val="26"/>
          <w14:ligatures w14:val="none"/>
        </w:rPr>
        <w:t>.[</w:t>
      </w:r>
      <w:r w:rsidRPr="00D13FFE">
        <w:rPr>
          <w:rFonts w:ascii="Times New Roman" w:eastAsia="Times New Roman" w:hAnsi="Times New Roman" w:cs="Times New Roman"/>
          <w:kern w:val="0"/>
          <w:sz w:val="26"/>
          <w:szCs w:val="26"/>
          <w14:ligatures w14:val="none"/>
        </w:rPr>
        <w:t>3</w:t>
      </w:r>
      <w:r w:rsidRPr="00D13FFE">
        <w:rPr>
          <w:rFonts w:ascii="Times New Roman" w:eastAsia="Times New Roman" w:hAnsi="Times New Roman" w:cs="Times New Roman"/>
          <w:kern w:val="0"/>
          <w:sz w:val="26"/>
          <w:szCs w:val="26"/>
          <w14:ligatures w14:val="none"/>
        </w:rPr>
        <w:t xml:space="preserve">] They are representatives of a militarized “vanguard.” Their musical image must combine both folk instruments and brass. The former </w:t>
      </w:r>
      <w:proofErr w:type="gramStart"/>
      <w:r w:rsidRPr="00D13FFE">
        <w:rPr>
          <w:rFonts w:ascii="Times New Roman" w:eastAsia="Times New Roman" w:hAnsi="Times New Roman" w:cs="Times New Roman"/>
          <w:kern w:val="0"/>
          <w:sz w:val="26"/>
          <w:szCs w:val="26"/>
          <w14:ligatures w14:val="none"/>
        </w:rPr>
        <w:t>legitimize</w:t>
      </w:r>
      <w:proofErr w:type="gramEnd"/>
      <w:r w:rsidRPr="00D13FFE">
        <w:rPr>
          <w:rFonts w:ascii="Times New Roman" w:eastAsia="Times New Roman" w:hAnsi="Times New Roman" w:cs="Times New Roman"/>
          <w:kern w:val="0"/>
          <w:sz w:val="26"/>
          <w:szCs w:val="26"/>
          <w14:ligatures w14:val="none"/>
        </w:rPr>
        <w:t xml:space="preserve"> the right to bear arms. The latter affirm the technical and moral power of those who carry them.</w:t>
      </w:r>
    </w:p>
    <w:p w14:paraId="21411705" w14:textId="77777777"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This is not to suggest that folk instruments and winds have any universal meaning. Such meanings shift depending on musical aesthetics and orchestration, and timbre varies greatly. One need only compare a trombone and a French horn. Yet within the prewar Alexandrov Ensemble, each group of instruments functioned as a unified expressive whole and acquired precisely this semantic role.</w:t>
      </w:r>
    </w:p>
    <w:p w14:paraId="591CDB67" w14:textId="7E68E7D0"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 xml:space="preserve">A decisive break came in June 1941, when Alexander Alexandrov composed the music for “The Sacred War,” performed as early as June 27 at </w:t>
      </w:r>
      <w:proofErr w:type="spellStart"/>
      <w:r w:rsidRPr="00D13FFE">
        <w:rPr>
          <w:rFonts w:ascii="Times New Roman" w:eastAsia="Times New Roman" w:hAnsi="Times New Roman" w:cs="Times New Roman"/>
          <w:kern w:val="0"/>
          <w:sz w:val="26"/>
          <w:szCs w:val="26"/>
          <w14:ligatures w14:val="none"/>
        </w:rPr>
        <w:t>Belorussky</w:t>
      </w:r>
      <w:proofErr w:type="spellEnd"/>
      <w:r w:rsidRPr="00D13FFE">
        <w:rPr>
          <w:rFonts w:ascii="Times New Roman" w:eastAsia="Times New Roman" w:hAnsi="Times New Roman" w:cs="Times New Roman"/>
          <w:kern w:val="0"/>
          <w:sz w:val="26"/>
          <w:szCs w:val="26"/>
          <w14:ligatures w14:val="none"/>
        </w:rPr>
        <w:t xml:space="preserve"> Station.[</w:t>
      </w:r>
      <w:r w:rsidRPr="00D13FFE">
        <w:rPr>
          <w:rFonts w:ascii="Times New Roman" w:eastAsia="Times New Roman" w:hAnsi="Times New Roman" w:cs="Times New Roman"/>
          <w:kern w:val="0"/>
          <w:sz w:val="26"/>
          <w:szCs w:val="26"/>
          <w14:ligatures w14:val="none"/>
        </w:rPr>
        <w:t>4</w:t>
      </w:r>
      <w:r w:rsidRPr="00D13FFE">
        <w:rPr>
          <w:rFonts w:ascii="Times New Roman" w:eastAsia="Times New Roman" w:hAnsi="Times New Roman" w:cs="Times New Roman"/>
          <w:kern w:val="0"/>
          <w:sz w:val="26"/>
          <w:szCs w:val="26"/>
          <w14:ligatures w14:val="none"/>
        </w:rPr>
        <w:t xml:space="preserve">] I would venture that the brass writing devised by Alexandrov contributed no less to the song’s success and longevity than Lebedev </w:t>
      </w:r>
      <w:proofErr w:type="spellStart"/>
      <w:r w:rsidRPr="00D13FFE">
        <w:rPr>
          <w:rFonts w:ascii="Times New Roman" w:eastAsia="Times New Roman" w:hAnsi="Times New Roman" w:cs="Times New Roman"/>
          <w:kern w:val="0"/>
          <w:sz w:val="26"/>
          <w:szCs w:val="26"/>
          <w14:ligatures w14:val="none"/>
        </w:rPr>
        <w:t>Kumach’s</w:t>
      </w:r>
      <w:proofErr w:type="spellEnd"/>
      <w:r w:rsidRPr="00D13FFE">
        <w:rPr>
          <w:rFonts w:ascii="Times New Roman" w:eastAsia="Times New Roman" w:hAnsi="Times New Roman" w:cs="Times New Roman"/>
          <w:kern w:val="0"/>
          <w:sz w:val="26"/>
          <w:szCs w:val="26"/>
          <w14:ligatures w14:val="none"/>
        </w:rPr>
        <w:t xml:space="preserve"> incendiary lyrics.</w:t>
      </w:r>
    </w:p>
    <w:p w14:paraId="4319EE49" w14:textId="77777777"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 xml:space="preserve">Here the brass </w:t>
      </w:r>
      <w:proofErr w:type="gramStart"/>
      <w:r w:rsidRPr="00D13FFE">
        <w:rPr>
          <w:rFonts w:ascii="Times New Roman" w:eastAsia="Times New Roman" w:hAnsi="Times New Roman" w:cs="Times New Roman"/>
          <w:kern w:val="0"/>
          <w:sz w:val="26"/>
          <w:szCs w:val="26"/>
          <w14:ligatures w14:val="none"/>
        </w:rPr>
        <w:t>do</w:t>
      </w:r>
      <w:proofErr w:type="gramEnd"/>
      <w:r w:rsidRPr="00D13FFE">
        <w:rPr>
          <w:rFonts w:ascii="Times New Roman" w:eastAsia="Times New Roman" w:hAnsi="Times New Roman" w:cs="Times New Roman"/>
          <w:kern w:val="0"/>
          <w:sz w:val="26"/>
          <w:szCs w:val="26"/>
          <w14:ligatures w14:val="none"/>
        </w:rPr>
        <w:t xml:space="preserve"> more than signal alarm, the call that summons citizens to fulfill their patriotic duty. For perhaps the first time in the ensemble’s history, they sound like the tread of History itself, a vast and irresistible force, a Juggernaut that draws everyone into </w:t>
      </w:r>
      <w:r w:rsidRPr="00D13FFE">
        <w:rPr>
          <w:rFonts w:ascii="Times New Roman" w:eastAsia="Times New Roman" w:hAnsi="Times New Roman" w:cs="Times New Roman"/>
          <w:kern w:val="0"/>
          <w:sz w:val="26"/>
          <w:szCs w:val="26"/>
          <w14:ligatures w14:val="none"/>
        </w:rPr>
        <w:lastRenderedPageBreak/>
        <w:t>its orbit, regardless of whether they serve in the army, carry weapons, or belong to the party.</w:t>
      </w:r>
    </w:p>
    <w:p w14:paraId="54D747A0" w14:textId="54A80CFC"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This semantic role of winds and percussion was not invented by Alexandrov. He drew on symphonic precedents familiar to him, above all Beethoven, the acknowledged “Soviet classic</w:t>
      </w:r>
      <w:proofErr w:type="gramStart"/>
      <w:r w:rsidRPr="00D13FFE">
        <w:rPr>
          <w:rFonts w:ascii="Times New Roman" w:eastAsia="Times New Roman" w:hAnsi="Times New Roman" w:cs="Times New Roman"/>
          <w:kern w:val="0"/>
          <w:sz w:val="26"/>
          <w:szCs w:val="26"/>
          <w14:ligatures w14:val="none"/>
        </w:rPr>
        <w:t>,”[</w:t>
      </w:r>
      <w:proofErr w:type="gramEnd"/>
      <w:r w:rsidRPr="00D13FFE">
        <w:rPr>
          <w:rFonts w:ascii="Times New Roman" w:eastAsia="Times New Roman" w:hAnsi="Times New Roman" w:cs="Times New Roman"/>
          <w:kern w:val="0"/>
          <w:sz w:val="26"/>
          <w:szCs w:val="26"/>
          <w14:ligatures w14:val="none"/>
        </w:rPr>
        <w:t>5</w:t>
      </w:r>
      <w:r w:rsidRPr="00D13FFE">
        <w:rPr>
          <w:rFonts w:ascii="Times New Roman" w:eastAsia="Times New Roman" w:hAnsi="Times New Roman" w:cs="Times New Roman"/>
          <w:kern w:val="0"/>
          <w:sz w:val="26"/>
          <w:szCs w:val="26"/>
          <w14:ligatures w14:val="none"/>
        </w:rPr>
        <w:t>] but perhaps also Wagner, permitted before the war, and Mahler, who remained unbanned until 1936. Two and a half years later, Alexandrov would give this same, now triumphant, march of History musical form in the new Soviet anthem. For both singer and listener there is, in effect, only one choice: to merge one’s body and life into this advancing wave. Anyone who stands aside is not merely indifferent, but an enemy.</w:t>
      </w:r>
    </w:p>
    <w:p w14:paraId="61E3AE8C" w14:textId="77777777"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“We have raised our army in battle,</w:t>
      </w:r>
      <w:r w:rsidRPr="00D13FFE">
        <w:rPr>
          <w:rFonts w:ascii="Times New Roman" w:eastAsia="Times New Roman" w:hAnsi="Times New Roman" w:cs="Times New Roman"/>
          <w:kern w:val="0"/>
          <w:sz w:val="26"/>
          <w:szCs w:val="26"/>
          <w14:ligatures w14:val="none"/>
        </w:rPr>
        <w:br/>
        <w:t>We will sweep vile invaders from our path…”</w:t>
      </w:r>
    </w:p>
    <w:p w14:paraId="76AC2080" w14:textId="77777777"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This was sung in the anthem’s first version. The same intonation would persist in dozens of postwar songs, including “Song of the Dnieper,” with which this excursion began.</w:t>
      </w:r>
    </w:p>
    <w:p w14:paraId="4467C111" w14:textId="77777777"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And yet, having spoken of the brass, we must not forget the balalaikas and domras, whose sound reaches the listener even in certain verses of the original Soviet anthem. Without them, nothing works. They signify the call of the soil, of earth and grass and foliage and water. They promise memory and posthumous recompense, that which alone justifies the millions of lives crushed and broken by the Juggernaut.</w:t>
      </w:r>
    </w:p>
    <w:p w14:paraId="5B6678AC" w14:textId="77777777"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“But we lie down in it and become it…”</w:t>
      </w:r>
    </w:p>
    <w:p w14:paraId="053053FA" w14:textId="4DCBFB2E"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 xml:space="preserve">From 1941 onward, the war song is no longer a “song of soldiers,” and the Alexandrov Ensemble is no longer simply the representation of a militarized vanguard. What we encounter instead is a narrative in which any subject, any citizen, comes into </w:t>
      </w:r>
      <w:r w:rsidRPr="00D13FFE">
        <w:rPr>
          <w:rFonts w:ascii="Times New Roman" w:eastAsia="Times New Roman" w:hAnsi="Times New Roman" w:cs="Times New Roman"/>
          <w:kern w:val="0"/>
          <w:sz w:val="26"/>
          <w:szCs w:val="26"/>
          <w14:ligatures w14:val="none"/>
        </w:rPr>
        <w:t xml:space="preserve">living </w:t>
      </w:r>
      <w:r w:rsidRPr="00D13FFE">
        <w:rPr>
          <w:rFonts w:ascii="Times New Roman" w:eastAsia="Times New Roman" w:hAnsi="Times New Roman" w:cs="Times New Roman"/>
          <w:kern w:val="0"/>
          <w:sz w:val="26"/>
          <w:szCs w:val="26"/>
          <w14:ligatures w14:val="none"/>
        </w:rPr>
        <w:t>contact with History and becomes part of it. Those who perform this narrative possess superior abilities, vocal, instrumental, organizational. Yet countless threads of shared feeling and participation connect them to the audience, since all are drawn into the same overwhelming march of History. At the same time, the performers embody a powerful image of a collective whole that is both national and militarized.</w:t>
      </w:r>
    </w:p>
    <w:p w14:paraId="2A124A1B" w14:textId="34560DAD"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 xml:space="preserve">The relationship between the Alexandrov Ensemble and similar collectives, on the one hand, and their audiences, on the other, set important directions for Soviet and </w:t>
      </w:r>
      <w:r w:rsidRPr="00D13FFE">
        <w:rPr>
          <w:rFonts w:ascii="Times New Roman" w:eastAsia="Times New Roman" w:hAnsi="Times New Roman" w:cs="Times New Roman"/>
          <w:kern w:val="0"/>
          <w:sz w:val="26"/>
          <w:szCs w:val="26"/>
          <w14:ligatures w14:val="none"/>
        </w:rPr>
        <w:t>post-Soviet</w:t>
      </w:r>
      <w:r w:rsidRPr="00D13FFE">
        <w:rPr>
          <w:rFonts w:ascii="Times New Roman" w:eastAsia="Times New Roman" w:hAnsi="Times New Roman" w:cs="Times New Roman"/>
          <w:kern w:val="0"/>
          <w:sz w:val="26"/>
          <w:szCs w:val="26"/>
          <w14:ligatures w14:val="none"/>
        </w:rPr>
        <w:t xml:space="preserve"> emotional culture. To hear a lyrical, sometimes tragic melody with an anxious brass line, and to participate in its performance, gradually came to mean “to be a patriot.” The Alexandrov Ensemble became a kind of universal signifier of Soviet patriotism.</w:t>
      </w:r>
    </w:p>
    <w:p w14:paraId="1AB1AEB3" w14:textId="77777777"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 xml:space="preserve">It is not difficult to see that under present conditions, in what Boris Dubin called a “society of television viewers,” this emotional pattern is constantly exploited by state </w:t>
      </w:r>
      <w:r w:rsidRPr="00D13FFE">
        <w:rPr>
          <w:rFonts w:ascii="Times New Roman" w:eastAsia="Times New Roman" w:hAnsi="Times New Roman" w:cs="Times New Roman"/>
          <w:kern w:val="0"/>
          <w:sz w:val="26"/>
          <w:szCs w:val="26"/>
          <w14:ligatures w14:val="none"/>
        </w:rPr>
        <w:lastRenderedPageBreak/>
        <w:t>media. The foreign and domestic political events of recent days pose a serious challenge for those inclined to reflect on themselves “within history.” Some of us will soon have to find out what the trumpets and trombones resonate with, and what the domras and balalaikas resonate with. The answer may prove unexpected, and instructive.</w:t>
      </w:r>
    </w:p>
    <w:p w14:paraId="2D87C80B" w14:textId="1C105687" w:rsidR="00D13FFE" w:rsidRPr="00D13FFE" w:rsidRDefault="00D13FFE" w:rsidP="00D13FFE">
      <w:pPr>
        <w:spacing w:after="0" w:line="240" w:lineRule="auto"/>
        <w:rPr>
          <w:rFonts w:ascii="Times New Roman" w:eastAsia="Times New Roman" w:hAnsi="Times New Roman" w:cs="Times New Roman"/>
          <w:kern w:val="0"/>
          <w:sz w:val="26"/>
          <w:szCs w:val="26"/>
          <w14:ligatures w14:val="none"/>
        </w:rPr>
      </w:pPr>
    </w:p>
    <w:p w14:paraId="4D121E9E" w14:textId="77777777" w:rsidR="00D13FFE" w:rsidRPr="00D13FFE" w:rsidRDefault="00D13FFE" w:rsidP="00D13FFE">
      <w:pPr>
        <w:spacing w:before="100" w:beforeAutospacing="1" w:after="100" w:afterAutospacing="1" w:line="240" w:lineRule="auto"/>
        <w:rPr>
          <w:rFonts w:ascii="Times New Roman" w:eastAsia="Times New Roman" w:hAnsi="Times New Roman" w:cs="Times New Roman"/>
          <w:b/>
          <w:bCs/>
          <w:kern w:val="0"/>
          <w:sz w:val="26"/>
          <w:szCs w:val="26"/>
          <w14:ligatures w14:val="none"/>
        </w:rPr>
      </w:pPr>
      <w:r w:rsidRPr="00D13FFE">
        <w:rPr>
          <w:rFonts w:ascii="Times New Roman" w:eastAsia="Times New Roman" w:hAnsi="Times New Roman" w:cs="Times New Roman"/>
          <w:b/>
          <w:bCs/>
          <w:kern w:val="0"/>
          <w:sz w:val="26"/>
          <w:szCs w:val="26"/>
          <w14:ligatures w14:val="none"/>
        </w:rPr>
        <w:t>Notes</w:t>
      </w:r>
    </w:p>
    <w:p w14:paraId="5426EA7B" w14:textId="040486CE" w:rsidR="00D13FFE" w:rsidRPr="00D13FFE" w:rsidRDefault="00D13FFE" w:rsidP="00D13FFE">
      <w:pPr>
        <w:rPr>
          <w:rFonts w:asciiTheme="majorBidi" w:hAnsiTheme="majorBidi" w:cstheme="majorBidi"/>
          <w:sz w:val="26"/>
          <w:szCs w:val="26"/>
        </w:rPr>
      </w:pPr>
      <w:r w:rsidRPr="00D13FFE">
        <w:rPr>
          <w:rFonts w:asciiTheme="majorBidi" w:hAnsiTheme="majorBidi" w:cstheme="majorBidi"/>
          <w:sz w:val="26"/>
          <w:szCs w:val="26"/>
        </w:rPr>
        <w:t xml:space="preserve">[1] </w:t>
      </w:r>
      <w:r w:rsidRPr="00D13FFE">
        <w:rPr>
          <w:rFonts w:asciiTheme="majorBidi" w:hAnsiTheme="majorBidi" w:cstheme="majorBidi"/>
          <w:i/>
          <w:iCs/>
          <w:sz w:val="26"/>
          <w:szCs w:val="26"/>
        </w:rPr>
        <w:t>Little Blue Light</w:t>
      </w:r>
      <w:r w:rsidRPr="00D13FFE">
        <w:rPr>
          <w:rFonts w:asciiTheme="majorBidi" w:hAnsiTheme="majorBidi" w:cstheme="majorBidi"/>
          <w:sz w:val="26"/>
          <w:szCs w:val="26"/>
        </w:rPr>
        <w:t xml:space="preserve"> (</w:t>
      </w:r>
      <w:proofErr w:type="spellStart"/>
      <w:r w:rsidRPr="00D13FFE">
        <w:rPr>
          <w:rFonts w:asciiTheme="majorBidi" w:hAnsiTheme="majorBidi" w:cstheme="majorBidi"/>
          <w:i/>
          <w:iCs/>
          <w:sz w:val="26"/>
          <w:szCs w:val="26"/>
        </w:rPr>
        <w:t>Goluboi</w:t>
      </w:r>
      <w:proofErr w:type="spellEnd"/>
      <w:r w:rsidRPr="00D13FFE">
        <w:rPr>
          <w:rFonts w:asciiTheme="majorBidi" w:hAnsiTheme="majorBidi" w:cstheme="majorBidi"/>
          <w:i/>
          <w:iCs/>
          <w:sz w:val="26"/>
          <w:szCs w:val="26"/>
        </w:rPr>
        <w:t xml:space="preserve"> </w:t>
      </w:r>
      <w:proofErr w:type="spellStart"/>
      <w:r w:rsidRPr="00D13FFE">
        <w:rPr>
          <w:rFonts w:asciiTheme="majorBidi" w:hAnsiTheme="majorBidi" w:cstheme="majorBidi"/>
          <w:i/>
          <w:iCs/>
          <w:sz w:val="26"/>
          <w:szCs w:val="26"/>
        </w:rPr>
        <w:t>ogonyok</w:t>
      </w:r>
      <w:proofErr w:type="spellEnd"/>
      <w:r w:rsidRPr="00D13FFE">
        <w:rPr>
          <w:rFonts w:asciiTheme="majorBidi" w:hAnsiTheme="majorBidi" w:cstheme="majorBidi"/>
          <w:sz w:val="26"/>
          <w:szCs w:val="26"/>
        </w:rPr>
        <w:t>) was a long running Soviet television variety show, first broadcast in 1962, especially associated with New Year’s Eve programming. It combined popular songs, celebrity appearances, informal conversations, and staged performances in a setting designed to evoke a festive gathering. For several decades it functioned as one of the central shared media experiences in the USSR. Its recordings continue to circulate widely today and have become objects of nostalgia, in part because they preserve a stylized image of Soviet everyday life, a sense of collective celebration, and familiar cultural figures, all framed by an atmosphere of warmth and stability that contrasts sharply with later historical ruptures.</w:t>
      </w:r>
    </w:p>
    <w:p w14:paraId="4B2D7E52" w14:textId="1C28BDE0"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w:t>
      </w:r>
      <w:r w:rsidRPr="00D13FFE">
        <w:rPr>
          <w:rFonts w:ascii="Times New Roman" w:eastAsia="Times New Roman" w:hAnsi="Times New Roman" w:cs="Times New Roman"/>
          <w:kern w:val="0"/>
          <w:sz w:val="26"/>
          <w:szCs w:val="26"/>
          <w14:ligatures w14:val="none"/>
        </w:rPr>
        <w:t>2</w:t>
      </w:r>
      <w:r w:rsidRPr="00D13FFE">
        <w:rPr>
          <w:rFonts w:ascii="Times New Roman" w:eastAsia="Times New Roman" w:hAnsi="Times New Roman" w:cs="Times New Roman"/>
          <w:kern w:val="0"/>
          <w:sz w:val="26"/>
          <w:szCs w:val="26"/>
          <w14:ligatures w14:val="none"/>
        </w:rPr>
        <w:t>] The orchestra of folk instruments is not a phenomenon of folkloric origin. The first ensembles of this kind were created in Russia in the late nineteenth century as an attempt to objectify a musical image of “the people.”</w:t>
      </w:r>
    </w:p>
    <w:p w14:paraId="2B53F159" w14:textId="0C90CAC0"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w:t>
      </w:r>
      <w:r w:rsidRPr="00D13FFE">
        <w:rPr>
          <w:rFonts w:ascii="Times New Roman" w:eastAsia="Times New Roman" w:hAnsi="Times New Roman" w:cs="Times New Roman"/>
          <w:kern w:val="0"/>
          <w:sz w:val="26"/>
          <w:szCs w:val="26"/>
          <w14:ligatures w14:val="none"/>
        </w:rPr>
        <w:t>3</w:t>
      </w:r>
      <w:r w:rsidRPr="00D13FFE">
        <w:rPr>
          <w:rFonts w:ascii="Times New Roman" w:eastAsia="Times New Roman" w:hAnsi="Times New Roman" w:cs="Times New Roman"/>
          <w:kern w:val="0"/>
          <w:sz w:val="26"/>
          <w:szCs w:val="26"/>
          <w14:ligatures w14:val="none"/>
        </w:rPr>
        <w:t xml:space="preserve">] It should be recalled that during the Great Patriotic War, </w:t>
      </w:r>
      <w:proofErr w:type="spellStart"/>
      <w:r w:rsidRPr="00D13FFE">
        <w:rPr>
          <w:rFonts w:ascii="Times New Roman" w:eastAsia="Times New Roman" w:hAnsi="Times New Roman" w:cs="Times New Roman"/>
          <w:kern w:val="0"/>
          <w:sz w:val="26"/>
          <w:szCs w:val="26"/>
          <w14:ligatures w14:val="none"/>
        </w:rPr>
        <w:t>tachankas</w:t>
      </w:r>
      <w:proofErr w:type="spellEnd"/>
      <w:r w:rsidRPr="00D13FFE">
        <w:rPr>
          <w:rFonts w:ascii="Times New Roman" w:eastAsia="Times New Roman" w:hAnsi="Times New Roman" w:cs="Times New Roman"/>
          <w:kern w:val="0"/>
          <w:sz w:val="26"/>
          <w:szCs w:val="26"/>
          <w14:ligatures w14:val="none"/>
        </w:rPr>
        <w:t xml:space="preserve"> were still used by the Soviet army, although in far smaller numbers than in the 1920s.</w:t>
      </w:r>
    </w:p>
    <w:p w14:paraId="4E5EA9D7" w14:textId="187D224C"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w:t>
      </w:r>
      <w:r w:rsidRPr="00D13FFE">
        <w:rPr>
          <w:rFonts w:ascii="Times New Roman" w:eastAsia="Times New Roman" w:hAnsi="Times New Roman" w:cs="Times New Roman"/>
          <w:kern w:val="0"/>
          <w:sz w:val="26"/>
          <w:szCs w:val="26"/>
          <w14:ligatures w14:val="none"/>
        </w:rPr>
        <w:t>4</w:t>
      </w:r>
      <w:r w:rsidRPr="00D13FFE">
        <w:rPr>
          <w:rFonts w:ascii="Times New Roman" w:eastAsia="Times New Roman" w:hAnsi="Times New Roman" w:cs="Times New Roman"/>
          <w:kern w:val="0"/>
          <w:sz w:val="26"/>
          <w:szCs w:val="26"/>
          <w14:ligatures w14:val="none"/>
        </w:rPr>
        <w:t xml:space="preserve">] There are several hypotheses regarding the song’s origin. Viktor Suvorov argues that it was written several years before the war on Soviet territory began. Alexander Malgin maintains that its text was written as early as 1916 by a schoolteacher, A. Bode. Other scholars defend the canonical version, according to which the song was composed between June 23 and 26, 1941, by Lebedev </w:t>
      </w:r>
      <w:proofErr w:type="spellStart"/>
      <w:r w:rsidRPr="00D13FFE">
        <w:rPr>
          <w:rFonts w:ascii="Times New Roman" w:eastAsia="Times New Roman" w:hAnsi="Times New Roman" w:cs="Times New Roman"/>
          <w:kern w:val="0"/>
          <w:sz w:val="26"/>
          <w:szCs w:val="26"/>
          <w14:ligatures w14:val="none"/>
        </w:rPr>
        <w:t>Kumach</w:t>
      </w:r>
      <w:proofErr w:type="spellEnd"/>
      <w:r w:rsidRPr="00D13FFE">
        <w:rPr>
          <w:rFonts w:ascii="Times New Roman" w:eastAsia="Times New Roman" w:hAnsi="Times New Roman" w:cs="Times New Roman"/>
          <w:kern w:val="0"/>
          <w:sz w:val="26"/>
          <w:szCs w:val="26"/>
          <w14:ligatures w14:val="none"/>
        </w:rPr>
        <w:t xml:space="preserve"> and A. Alexandrov. Without entering this debate, I will note one minimal condition. If the evolutionary scheme outlined here is correct, then the orchestration known from early recordings must have been created in the first days of the war.</w:t>
      </w:r>
    </w:p>
    <w:p w14:paraId="20A67406" w14:textId="04D2B9C8" w:rsidR="00D13FFE" w:rsidRPr="00D13FFE" w:rsidRDefault="00D13FFE" w:rsidP="00D13FF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13FFE">
        <w:rPr>
          <w:rFonts w:ascii="Times New Roman" w:eastAsia="Times New Roman" w:hAnsi="Times New Roman" w:cs="Times New Roman"/>
          <w:kern w:val="0"/>
          <w:sz w:val="26"/>
          <w:szCs w:val="26"/>
          <w14:ligatures w14:val="none"/>
        </w:rPr>
        <w:t>[</w:t>
      </w:r>
      <w:r w:rsidRPr="00D13FFE">
        <w:rPr>
          <w:rFonts w:ascii="Times New Roman" w:eastAsia="Times New Roman" w:hAnsi="Times New Roman" w:cs="Times New Roman"/>
          <w:kern w:val="0"/>
          <w:sz w:val="26"/>
          <w:szCs w:val="26"/>
          <w14:ligatures w14:val="none"/>
        </w:rPr>
        <w:t>5</w:t>
      </w:r>
      <w:r w:rsidRPr="00D13FFE">
        <w:rPr>
          <w:rFonts w:ascii="Times New Roman" w:eastAsia="Times New Roman" w:hAnsi="Times New Roman" w:cs="Times New Roman"/>
          <w:kern w:val="0"/>
          <w:sz w:val="26"/>
          <w:szCs w:val="26"/>
          <w14:ligatures w14:val="none"/>
        </w:rPr>
        <w:t xml:space="preserve">] See: Raku, M. “Working on Beethoven” in Soviet culture of the 1920s, in </w:t>
      </w:r>
      <w:r w:rsidRPr="00D13FFE">
        <w:rPr>
          <w:rFonts w:ascii="Times New Roman" w:eastAsia="Times New Roman" w:hAnsi="Times New Roman" w:cs="Times New Roman"/>
          <w:i/>
          <w:iCs/>
          <w:kern w:val="0"/>
          <w:sz w:val="26"/>
          <w:szCs w:val="26"/>
          <w14:ligatures w14:val="none"/>
        </w:rPr>
        <w:t>Russian Musical Culture: Contemporary Studies</w:t>
      </w:r>
      <w:r w:rsidRPr="00D13FFE">
        <w:rPr>
          <w:rFonts w:ascii="Times New Roman" w:eastAsia="Times New Roman" w:hAnsi="Times New Roman" w:cs="Times New Roman"/>
          <w:kern w:val="0"/>
          <w:sz w:val="26"/>
          <w:szCs w:val="26"/>
          <w14:ligatures w14:val="none"/>
        </w:rPr>
        <w:t>, vol. 164, Moscow, 2004, pp. 149</w:t>
      </w:r>
      <w:r w:rsidRPr="00D13FFE">
        <w:rPr>
          <w:rFonts w:ascii="Times New Roman" w:eastAsia="Times New Roman" w:hAnsi="Times New Roman" w:cs="Times New Roman"/>
          <w:kern w:val="0"/>
          <w:sz w:val="26"/>
          <w:szCs w:val="26"/>
          <w14:ligatures w14:val="none"/>
        </w:rPr>
        <w:t>-</w:t>
      </w:r>
      <w:r w:rsidRPr="00D13FFE">
        <w:rPr>
          <w:rFonts w:ascii="Times New Roman" w:eastAsia="Times New Roman" w:hAnsi="Times New Roman" w:cs="Times New Roman"/>
          <w:kern w:val="0"/>
          <w:sz w:val="26"/>
          <w:szCs w:val="26"/>
          <w14:ligatures w14:val="none"/>
        </w:rPr>
        <w:t>17</w:t>
      </w:r>
      <w:r w:rsidRPr="00D13FFE">
        <w:rPr>
          <w:rFonts w:ascii="Times New Roman" w:eastAsia="Times New Roman" w:hAnsi="Times New Roman" w:cs="Times New Roman"/>
          <w:kern w:val="0"/>
          <w:sz w:val="26"/>
          <w:szCs w:val="26"/>
          <w14:ligatures w14:val="none"/>
        </w:rPr>
        <w:t>3</w:t>
      </w:r>
      <w:r w:rsidRPr="00D13FFE">
        <w:rPr>
          <w:rFonts w:ascii="Times New Roman" w:eastAsia="Times New Roman" w:hAnsi="Times New Roman" w:cs="Times New Roman"/>
          <w:kern w:val="0"/>
          <w:sz w:val="26"/>
          <w:szCs w:val="26"/>
          <w14:ligatures w14:val="none"/>
        </w:rPr>
        <w:t>.</w:t>
      </w:r>
    </w:p>
    <w:p w14:paraId="1B10A745" w14:textId="77777777" w:rsidR="00D13FFE" w:rsidRPr="00D13FFE" w:rsidRDefault="00D13FFE">
      <w:pPr>
        <w:rPr>
          <w:sz w:val="26"/>
          <w:szCs w:val="26"/>
        </w:rPr>
      </w:pPr>
    </w:p>
    <w:sectPr w:rsidR="00D13FFE" w:rsidRPr="00D13FFE">
      <w:footerReference w:type="even" r:id="rId6"/>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30AE8" w14:textId="77777777" w:rsidR="0054296B" w:rsidRDefault="0054296B" w:rsidP="00D13FFE">
      <w:pPr>
        <w:spacing w:after="0" w:line="240" w:lineRule="auto"/>
      </w:pPr>
      <w:r>
        <w:separator/>
      </w:r>
    </w:p>
  </w:endnote>
  <w:endnote w:type="continuationSeparator" w:id="0">
    <w:p w14:paraId="21CA3EB2" w14:textId="77777777" w:rsidR="0054296B" w:rsidRDefault="0054296B" w:rsidP="00D13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6702857"/>
      <w:docPartObj>
        <w:docPartGallery w:val="Page Numbers (Bottom of Page)"/>
        <w:docPartUnique/>
      </w:docPartObj>
    </w:sdtPr>
    <w:sdtContent>
      <w:p w14:paraId="77457CF0" w14:textId="33A1C7FE" w:rsidR="00D13FFE" w:rsidRDefault="00D13FFE" w:rsidP="00EF60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17B0396" w14:textId="77777777" w:rsidR="00D13FFE" w:rsidRDefault="00D13FFE" w:rsidP="00D13FF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12544318"/>
      <w:docPartObj>
        <w:docPartGallery w:val="Page Numbers (Bottom of Page)"/>
        <w:docPartUnique/>
      </w:docPartObj>
    </w:sdtPr>
    <w:sdtContent>
      <w:p w14:paraId="060B3638" w14:textId="27A49226" w:rsidR="00D13FFE" w:rsidRDefault="00D13FFE" w:rsidP="00EF60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3AA5CF37" w14:textId="77777777" w:rsidR="00D13FFE" w:rsidRDefault="00D13FFE" w:rsidP="00D13FF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D1A78" w14:textId="77777777" w:rsidR="0054296B" w:rsidRDefault="0054296B" w:rsidP="00D13FFE">
      <w:pPr>
        <w:spacing w:after="0" w:line="240" w:lineRule="auto"/>
      </w:pPr>
      <w:r>
        <w:separator/>
      </w:r>
    </w:p>
  </w:footnote>
  <w:footnote w:type="continuationSeparator" w:id="0">
    <w:p w14:paraId="66CA70A8" w14:textId="77777777" w:rsidR="0054296B" w:rsidRDefault="0054296B" w:rsidP="00D13F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FFE"/>
    <w:rsid w:val="0054296B"/>
    <w:rsid w:val="00B21DF6"/>
    <w:rsid w:val="00D13FF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BC579"/>
  <w15:chartTrackingRefBased/>
  <w15:docId w15:val="{DDFF8175-7AAB-314F-BBB8-32ED11852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F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F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F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F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F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F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F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F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F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F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FFE"/>
    <w:rPr>
      <w:rFonts w:eastAsiaTheme="majorEastAsia" w:cstheme="majorBidi"/>
      <w:color w:val="272727" w:themeColor="text1" w:themeTint="D8"/>
    </w:rPr>
  </w:style>
  <w:style w:type="paragraph" w:styleId="Title">
    <w:name w:val="Title"/>
    <w:basedOn w:val="Normal"/>
    <w:next w:val="Normal"/>
    <w:link w:val="TitleChar"/>
    <w:uiPriority w:val="10"/>
    <w:qFormat/>
    <w:rsid w:val="00D13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FFE"/>
    <w:pPr>
      <w:spacing w:before="160"/>
      <w:jc w:val="center"/>
    </w:pPr>
    <w:rPr>
      <w:i/>
      <w:iCs/>
      <w:color w:val="404040" w:themeColor="text1" w:themeTint="BF"/>
    </w:rPr>
  </w:style>
  <w:style w:type="character" w:customStyle="1" w:styleId="QuoteChar">
    <w:name w:val="Quote Char"/>
    <w:basedOn w:val="DefaultParagraphFont"/>
    <w:link w:val="Quote"/>
    <w:uiPriority w:val="29"/>
    <w:rsid w:val="00D13FFE"/>
    <w:rPr>
      <w:i/>
      <w:iCs/>
      <w:color w:val="404040" w:themeColor="text1" w:themeTint="BF"/>
    </w:rPr>
  </w:style>
  <w:style w:type="paragraph" w:styleId="ListParagraph">
    <w:name w:val="List Paragraph"/>
    <w:basedOn w:val="Normal"/>
    <w:uiPriority w:val="34"/>
    <w:qFormat/>
    <w:rsid w:val="00D13FFE"/>
    <w:pPr>
      <w:ind w:left="720"/>
      <w:contextualSpacing/>
    </w:pPr>
  </w:style>
  <w:style w:type="character" w:styleId="IntenseEmphasis">
    <w:name w:val="Intense Emphasis"/>
    <w:basedOn w:val="DefaultParagraphFont"/>
    <w:uiPriority w:val="21"/>
    <w:qFormat/>
    <w:rsid w:val="00D13FFE"/>
    <w:rPr>
      <w:i/>
      <w:iCs/>
      <w:color w:val="0F4761" w:themeColor="accent1" w:themeShade="BF"/>
    </w:rPr>
  </w:style>
  <w:style w:type="paragraph" w:styleId="IntenseQuote">
    <w:name w:val="Intense Quote"/>
    <w:basedOn w:val="Normal"/>
    <w:next w:val="Normal"/>
    <w:link w:val="IntenseQuoteChar"/>
    <w:uiPriority w:val="30"/>
    <w:qFormat/>
    <w:rsid w:val="00D13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FFE"/>
    <w:rPr>
      <w:i/>
      <w:iCs/>
      <w:color w:val="0F4761" w:themeColor="accent1" w:themeShade="BF"/>
    </w:rPr>
  </w:style>
  <w:style w:type="character" w:styleId="IntenseReference">
    <w:name w:val="Intense Reference"/>
    <w:basedOn w:val="DefaultParagraphFont"/>
    <w:uiPriority w:val="32"/>
    <w:qFormat/>
    <w:rsid w:val="00D13FFE"/>
    <w:rPr>
      <w:b/>
      <w:bCs/>
      <w:smallCaps/>
      <w:color w:val="0F4761" w:themeColor="accent1" w:themeShade="BF"/>
      <w:spacing w:val="5"/>
    </w:rPr>
  </w:style>
  <w:style w:type="paragraph" w:styleId="NormalWeb">
    <w:name w:val="Normal (Web)"/>
    <w:basedOn w:val="Normal"/>
    <w:uiPriority w:val="99"/>
    <w:semiHidden/>
    <w:unhideWhenUsed/>
    <w:rsid w:val="00D13FF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13FFE"/>
    <w:rPr>
      <w:b/>
      <w:bCs/>
    </w:rPr>
  </w:style>
  <w:style w:type="character" w:styleId="Emphasis">
    <w:name w:val="Emphasis"/>
    <w:basedOn w:val="DefaultParagraphFont"/>
    <w:uiPriority w:val="20"/>
    <w:qFormat/>
    <w:rsid w:val="00D13FFE"/>
    <w:rPr>
      <w:i/>
      <w:iCs/>
    </w:rPr>
  </w:style>
  <w:style w:type="paragraph" w:styleId="Footer">
    <w:name w:val="footer"/>
    <w:basedOn w:val="Normal"/>
    <w:link w:val="FooterChar"/>
    <w:uiPriority w:val="99"/>
    <w:unhideWhenUsed/>
    <w:rsid w:val="00D13F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3FFE"/>
  </w:style>
  <w:style w:type="character" w:styleId="PageNumber">
    <w:name w:val="page number"/>
    <w:basedOn w:val="DefaultParagraphFont"/>
    <w:uiPriority w:val="99"/>
    <w:semiHidden/>
    <w:unhideWhenUsed/>
    <w:rsid w:val="00D13F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1866</Words>
  <Characters>9482</Characters>
  <Application>Microsoft Office Word</Application>
  <DocSecurity>0</DocSecurity>
  <Lines>160</Lines>
  <Paragraphs>50</Paragraphs>
  <ScaleCrop>false</ScaleCrop>
  <Company/>
  <LinksUpToDate>false</LinksUpToDate>
  <CharactersWithSpaces>11298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Mayofis</dc:creator>
  <cp:keywords/>
  <dc:description/>
  <cp:lastModifiedBy>Maria Mayofis</cp:lastModifiedBy>
  <cp:revision>1</cp:revision>
  <dcterms:created xsi:type="dcterms:W3CDTF">2026-03-17T14:28:00Z</dcterms:created>
  <dcterms:modified xsi:type="dcterms:W3CDTF">2026-03-17T14:40:00Z</dcterms:modified>
</cp:coreProperties>
</file>