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52F4F" w14:textId="150FA41F" w:rsidR="008C3E84" w:rsidRPr="008C3E84" w:rsidRDefault="008C3E84" w:rsidP="008C3E84">
      <w:pPr>
        <w:rPr>
          <w:b/>
          <w:bCs/>
          <w:sz w:val="32"/>
          <w:szCs w:val="32"/>
        </w:rPr>
      </w:pPr>
      <w:r w:rsidRPr="008C3E84">
        <w:rPr>
          <w:b/>
          <w:bCs/>
          <w:sz w:val="32"/>
          <w:szCs w:val="32"/>
        </w:rPr>
        <w:t xml:space="preserve">An </w:t>
      </w:r>
      <w:r>
        <w:rPr>
          <w:b/>
          <w:bCs/>
          <w:sz w:val="32"/>
          <w:szCs w:val="32"/>
        </w:rPr>
        <w:t xml:space="preserve">Opportunity to Invest in a Fast-Growing Residential developments in UK </w:t>
      </w:r>
    </w:p>
    <w:p w14:paraId="7DAF2CF2" w14:textId="36D8C5C8" w:rsidR="008C3E84" w:rsidRPr="00086372" w:rsidRDefault="008C3E84" w:rsidP="00086372">
      <w:r w:rsidRPr="00086372">
        <w:rPr>
          <w:b/>
          <w:bCs/>
          <w:sz w:val="24"/>
          <w:szCs w:val="24"/>
        </w:rPr>
        <w:t>Business Summary:</w:t>
      </w:r>
      <w:r w:rsidR="00086372">
        <w:rPr>
          <w:b/>
          <w:bCs/>
          <w:sz w:val="24"/>
          <w:szCs w:val="24"/>
        </w:rPr>
        <w:t xml:space="preserve"> </w:t>
      </w:r>
      <w:r w:rsidRPr="00086372">
        <w:t>The Residential Development company, ME Developments was established in 2016 catering to building mid-market luxury houses and high-turnover urban London apartments.</w:t>
      </w:r>
    </w:p>
    <w:p w14:paraId="1565804A" w14:textId="61B820C6" w:rsidR="00F53A31" w:rsidRDefault="00AF3893" w:rsidP="008C3E84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Development Size: </w:t>
      </w:r>
      <w:r w:rsidR="00F53A31">
        <w:rPr>
          <w:color w:val="auto"/>
          <w:sz w:val="18"/>
          <w:szCs w:val="18"/>
        </w:rPr>
        <w:t xml:space="preserve"> </w:t>
      </w:r>
      <w:r w:rsidR="009D3A22">
        <w:rPr>
          <w:color w:val="auto"/>
          <w:sz w:val="18"/>
          <w:szCs w:val="18"/>
        </w:rPr>
        <w:t xml:space="preserve"> </w:t>
      </w:r>
      <w:r w:rsidR="00F53A31">
        <w:rPr>
          <w:color w:val="auto"/>
          <w:sz w:val="18"/>
          <w:szCs w:val="18"/>
        </w:rPr>
        <w:t xml:space="preserve">- </w:t>
      </w:r>
      <w:r w:rsidR="00850F19">
        <w:rPr>
          <w:color w:val="auto"/>
          <w:sz w:val="18"/>
          <w:szCs w:val="18"/>
        </w:rPr>
        <w:t xml:space="preserve">     </w:t>
      </w:r>
      <w:r w:rsidR="008C3E84">
        <w:rPr>
          <w:color w:val="auto"/>
          <w:sz w:val="18"/>
          <w:szCs w:val="18"/>
        </w:rPr>
        <w:t xml:space="preserve">Home Counties projects of around 15+ houses </w:t>
      </w:r>
    </w:p>
    <w:p w14:paraId="445C4D27" w14:textId="6E32847F" w:rsidR="008C3E84" w:rsidRDefault="00850F19" w:rsidP="00850F19">
      <w:pPr>
        <w:pStyle w:val="Default"/>
        <w:numPr>
          <w:ilvl w:val="0"/>
          <w:numId w:val="2"/>
        </w:numPr>
        <w:ind w:left="1985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U</w:t>
      </w:r>
      <w:r w:rsidR="008C3E84">
        <w:rPr>
          <w:color w:val="auto"/>
          <w:sz w:val="18"/>
          <w:szCs w:val="18"/>
        </w:rPr>
        <w:t xml:space="preserve">rban London buildings, of 50+ apartments. </w:t>
      </w:r>
    </w:p>
    <w:p w14:paraId="73D68C5B" w14:textId="6E693C44" w:rsidR="008C3E84" w:rsidRDefault="00850F19" w:rsidP="009D3A22">
      <w:pPr>
        <w:ind w:left="1418" w:hanging="1418"/>
        <w:rPr>
          <w:rFonts w:ascii="Arial" w:hAnsi="Arial" w:cs="Arial"/>
          <w:sz w:val="18"/>
          <w:szCs w:val="18"/>
        </w:rPr>
      </w:pPr>
      <w:r w:rsidRPr="00850F19">
        <w:rPr>
          <w:rFonts w:ascii="Arial" w:hAnsi="Arial" w:cs="Arial"/>
          <w:sz w:val="18"/>
          <w:szCs w:val="18"/>
        </w:rPr>
        <w:t xml:space="preserve">Track Record: </w:t>
      </w:r>
      <w:r>
        <w:rPr>
          <w:rFonts w:ascii="Arial" w:hAnsi="Arial" w:cs="Arial"/>
          <w:sz w:val="18"/>
          <w:szCs w:val="18"/>
        </w:rPr>
        <w:tab/>
      </w:r>
      <w:r w:rsidR="00E7363C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- </w:t>
      </w:r>
      <w:r w:rsidR="00E7363C">
        <w:rPr>
          <w:rFonts w:ascii="Arial" w:hAnsi="Arial" w:cs="Arial"/>
          <w:sz w:val="18"/>
          <w:szCs w:val="18"/>
        </w:rPr>
        <w:t xml:space="preserve">     </w:t>
      </w:r>
      <w:r w:rsidR="00A714C0">
        <w:rPr>
          <w:rFonts w:ascii="Arial" w:hAnsi="Arial" w:cs="Arial"/>
          <w:sz w:val="18"/>
          <w:szCs w:val="18"/>
        </w:rPr>
        <w:t>Has delivered ------</w:t>
      </w:r>
      <w:proofErr w:type="spellStart"/>
      <w:r w:rsidR="00A714C0">
        <w:rPr>
          <w:rFonts w:ascii="Arial" w:hAnsi="Arial" w:cs="Arial"/>
          <w:sz w:val="18"/>
          <w:szCs w:val="18"/>
        </w:rPr>
        <w:t>sqft</w:t>
      </w:r>
      <w:proofErr w:type="spellEnd"/>
      <w:r w:rsidR="00A714C0">
        <w:rPr>
          <w:rFonts w:ascii="Arial" w:hAnsi="Arial" w:cs="Arial"/>
          <w:sz w:val="18"/>
          <w:szCs w:val="18"/>
        </w:rPr>
        <w:t xml:space="preserve">. </w:t>
      </w:r>
      <w:r w:rsidR="00B906CA">
        <w:rPr>
          <w:rFonts w:ascii="Arial" w:hAnsi="Arial" w:cs="Arial"/>
          <w:sz w:val="18"/>
          <w:szCs w:val="18"/>
        </w:rPr>
        <w:t>Of real estate development</w:t>
      </w:r>
      <w:r w:rsidR="00A714C0">
        <w:rPr>
          <w:rFonts w:ascii="Arial" w:hAnsi="Arial" w:cs="Arial"/>
          <w:sz w:val="18"/>
          <w:szCs w:val="18"/>
        </w:rPr>
        <w:t xml:space="preserve"> </w:t>
      </w:r>
      <w:r w:rsidR="008107A1">
        <w:rPr>
          <w:rFonts w:ascii="Arial" w:hAnsi="Arial" w:cs="Arial"/>
          <w:sz w:val="18"/>
          <w:szCs w:val="18"/>
        </w:rPr>
        <w:t xml:space="preserve">over last 4 years consistently maintained </w:t>
      </w:r>
      <w:r w:rsidR="009D3A22">
        <w:rPr>
          <w:rFonts w:ascii="Arial" w:hAnsi="Arial" w:cs="Arial"/>
          <w:sz w:val="18"/>
          <w:szCs w:val="18"/>
        </w:rPr>
        <w:t xml:space="preserve">        </w:t>
      </w:r>
      <w:r w:rsidR="008107A1">
        <w:rPr>
          <w:rFonts w:ascii="Arial" w:hAnsi="Arial" w:cs="Arial"/>
          <w:sz w:val="18"/>
          <w:szCs w:val="18"/>
        </w:rPr>
        <w:t xml:space="preserve">high </w:t>
      </w:r>
      <w:proofErr w:type="gramStart"/>
      <w:r w:rsidR="008107A1">
        <w:rPr>
          <w:rFonts w:ascii="Arial" w:hAnsi="Arial" w:cs="Arial"/>
          <w:sz w:val="18"/>
          <w:szCs w:val="18"/>
        </w:rPr>
        <w:t>standards;</w:t>
      </w:r>
      <w:proofErr w:type="gramEnd"/>
      <w:r w:rsidR="008107A1">
        <w:rPr>
          <w:rFonts w:ascii="Arial" w:hAnsi="Arial" w:cs="Arial"/>
          <w:sz w:val="18"/>
          <w:szCs w:val="18"/>
        </w:rPr>
        <w:t xml:space="preserve"> </w:t>
      </w:r>
    </w:p>
    <w:p w14:paraId="2F84F513" w14:textId="23835B03" w:rsidR="00086372" w:rsidRDefault="0020352D" w:rsidP="008C3E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Financial track record: </w:t>
      </w:r>
    </w:p>
    <w:p w14:paraId="01474D66" w14:textId="3569BB68" w:rsidR="0020352D" w:rsidRDefault="0020352D" w:rsidP="0020352D">
      <w:pPr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29BE2A7" wp14:editId="685C3BA9">
            <wp:extent cx="4855210" cy="1360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F06E" w14:textId="7AC336EA" w:rsidR="008C3E84" w:rsidRDefault="008C3E84" w:rsidP="008C3E84">
      <w:r>
        <w:t>Value Proposition:</w:t>
      </w:r>
    </w:p>
    <w:p w14:paraId="2E1EB0DC" w14:textId="215264BC" w:rsidR="008350EB" w:rsidRPr="000F18B4" w:rsidRDefault="00494501" w:rsidP="004945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18B4">
        <w:rPr>
          <w:sz w:val="20"/>
          <w:szCs w:val="20"/>
        </w:rPr>
        <w:t xml:space="preserve">Off-Market </w:t>
      </w:r>
      <w:proofErr w:type="gramStart"/>
      <w:r w:rsidRPr="000F18B4">
        <w:rPr>
          <w:sz w:val="20"/>
          <w:szCs w:val="20"/>
        </w:rPr>
        <w:t>Sales</w:t>
      </w:r>
      <w:r w:rsidR="009522C5" w:rsidRPr="000F18B4">
        <w:rPr>
          <w:sz w:val="20"/>
          <w:szCs w:val="20"/>
        </w:rPr>
        <w:t>;</w:t>
      </w:r>
      <w:proofErr w:type="gramEnd"/>
    </w:p>
    <w:p w14:paraId="7EF880C3" w14:textId="70EF453B" w:rsidR="00494501" w:rsidRPr="000F18B4" w:rsidRDefault="00494501" w:rsidP="004945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18B4">
        <w:rPr>
          <w:sz w:val="20"/>
          <w:szCs w:val="20"/>
        </w:rPr>
        <w:t xml:space="preserve">Land </w:t>
      </w:r>
      <w:proofErr w:type="gramStart"/>
      <w:r w:rsidRPr="000F18B4">
        <w:rPr>
          <w:sz w:val="20"/>
          <w:szCs w:val="20"/>
        </w:rPr>
        <w:t>Banking</w:t>
      </w:r>
      <w:r w:rsidR="009522C5" w:rsidRPr="000F18B4">
        <w:rPr>
          <w:sz w:val="20"/>
          <w:szCs w:val="20"/>
        </w:rPr>
        <w:t>;</w:t>
      </w:r>
      <w:proofErr w:type="gramEnd"/>
    </w:p>
    <w:p w14:paraId="702FDE80" w14:textId="263FDD79" w:rsidR="00494501" w:rsidRPr="000F18B4" w:rsidRDefault="009522C5" w:rsidP="004945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18B4">
        <w:rPr>
          <w:sz w:val="20"/>
          <w:szCs w:val="20"/>
        </w:rPr>
        <w:t xml:space="preserve">Urban </w:t>
      </w:r>
      <w:proofErr w:type="gramStart"/>
      <w:r w:rsidRPr="000F18B4">
        <w:rPr>
          <w:sz w:val="20"/>
          <w:szCs w:val="20"/>
        </w:rPr>
        <w:t>Regeneration;</w:t>
      </w:r>
      <w:proofErr w:type="gramEnd"/>
    </w:p>
    <w:p w14:paraId="7B203A4E" w14:textId="5242183D" w:rsidR="009522C5" w:rsidRPr="000F18B4" w:rsidRDefault="009522C5" w:rsidP="004945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18B4">
        <w:rPr>
          <w:sz w:val="20"/>
          <w:szCs w:val="20"/>
        </w:rPr>
        <w:t>Build -to-</w:t>
      </w:r>
      <w:proofErr w:type="gramStart"/>
      <w:r w:rsidRPr="000F18B4">
        <w:rPr>
          <w:sz w:val="20"/>
          <w:szCs w:val="20"/>
        </w:rPr>
        <w:t>Rent;</w:t>
      </w:r>
      <w:proofErr w:type="gramEnd"/>
    </w:p>
    <w:p w14:paraId="4CA8AE0E" w14:textId="23046DC5" w:rsidR="009522C5" w:rsidRPr="000F18B4" w:rsidRDefault="000F18B4" w:rsidP="004945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18B4">
        <w:rPr>
          <w:sz w:val="20"/>
          <w:szCs w:val="20"/>
        </w:rPr>
        <w:t xml:space="preserve">Housing </w:t>
      </w:r>
      <w:proofErr w:type="gramStart"/>
      <w:r w:rsidRPr="000F18B4">
        <w:rPr>
          <w:sz w:val="20"/>
          <w:szCs w:val="20"/>
        </w:rPr>
        <w:t>Association;</w:t>
      </w:r>
      <w:proofErr w:type="gramEnd"/>
    </w:p>
    <w:p w14:paraId="7BF3D8C8" w14:textId="636F23D0" w:rsidR="000F18B4" w:rsidRDefault="000F18B4" w:rsidP="00494501">
      <w:pPr>
        <w:pStyle w:val="ListParagraph"/>
        <w:numPr>
          <w:ilvl w:val="0"/>
          <w:numId w:val="2"/>
        </w:numPr>
      </w:pPr>
      <w:r w:rsidRPr="000F18B4">
        <w:rPr>
          <w:sz w:val="20"/>
          <w:szCs w:val="20"/>
        </w:rPr>
        <w:t>Company Acquisition</w:t>
      </w:r>
    </w:p>
    <w:p w14:paraId="487B77DD" w14:textId="77777777" w:rsidR="0058469A" w:rsidRDefault="0058469A" w:rsidP="008C3E84"/>
    <w:p w14:paraId="00C4F418" w14:textId="4B92595F" w:rsidR="008C3E84" w:rsidRDefault="008C3E84" w:rsidP="008C3E84">
      <w:r>
        <w:t>Competitive Advantage:</w:t>
      </w:r>
    </w:p>
    <w:p w14:paraId="49BEBCB4" w14:textId="355A1CAF" w:rsidR="008C3E84" w:rsidRDefault="008C3E84" w:rsidP="008C3E84"/>
    <w:p w14:paraId="5D0B3080" w14:textId="6148340F" w:rsidR="008C3E84" w:rsidRDefault="008C3E84" w:rsidP="008C3E84">
      <w:r>
        <w:t>Sales/Marketing Strategy</w:t>
      </w:r>
    </w:p>
    <w:p w14:paraId="2A021C9C" w14:textId="2E105B7F" w:rsidR="008C3E84" w:rsidRDefault="008C3E84" w:rsidP="008C3E84"/>
    <w:p w14:paraId="4492F446" w14:textId="59DDDD42" w:rsidR="008C3E84" w:rsidRDefault="008C3E84" w:rsidP="008C3E84">
      <w:pPr>
        <w:rPr>
          <w:b/>
          <w:bCs/>
        </w:rPr>
      </w:pPr>
      <w:r w:rsidRPr="001B2210">
        <w:rPr>
          <w:b/>
          <w:bCs/>
        </w:rPr>
        <w:t>Revenue Model:</w:t>
      </w:r>
    </w:p>
    <w:p w14:paraId="5E888B86" w14:textId="39391FB5" w:rsidR="005847FC" w:rsidRDefault="00AB5BAE" w:rsidP="005847FC">
      <w:pPr>
        <w:pStyle w:val="ListParagraph"/>
        <w:numPr>
          <w:ilvl w:val="0"/>
          <w:numId w:val="2"/>
        </w:numPr>
        <w:ind w:left="284" w:hanging="218"/>
      </w:pPr>
      <w:r w:rsidRPr="001751C3">
        <w:t xml:space="preserve">Sale </w:t>
      </w:r>
      <w:r w:rsidR="001A13AA" w:rsidRPr="001751C3">
        <w:t xml:space="preserve">of completed properties; </w:t>
      </w:r>
      <w:r w:rsidR="005847FC">
        <w:tab/>
      </w:r>
      <w:r w:rsidR="00F26AFF">
        <w:t xml:space="preserve">            </w:t>
      </w:r>
      <w:r w:rsidR="001A13AA" w:rsidRPr="001751C3">
        <w:t xml:space="preserve">GDV: GBP 10Million Risk profile: Low Realization: </w:t>
      </w:r>
      <w:r w:rsidR="001751C3" w:rsidRPr="001751C3">
        <w:t xml:space="preserve">6-12 </w:t>
      </w:r>
      <w:proofErr w:type="gramStart"/>
      <w:r w:rsidR="001751C3" w:rsidRPr="001751C3">
        <w:t>months</w:t>
      </w:r>
      <w:r w:rsidR="001751C3">
        <w:t>;</w:t>
      </w:r>
      <w:proofErr w:type="gramEnd"/>
    </w:p>
    <w:p w14:paraId="49B31C05" w14:textId="26379CBF" w:rsidR="001751C3" w:rsidRDefault="001751C3" w:rsidP="005847FC">
      <w:pPr>
        <w:pStyle w:val="ListParagraph"/>
        <w:numPr>
          <w:ilvl w:val="0"/>
          <w:numId w:val="2"/>
        </w:numPr>
        <w:ind w:left="284" w:hanging="218"/>
      </w:pPr>
      <w:r>
        <w:t>S</w:t>
      </w:r>
      <w:r w:rsidR="005847FC">
        <w:t>ale of under construction properties:</w:t>
      </w:r>
      <w:r w:rsidR="00F26AFF">
        <w:t xml:space="preserve">          GDV: GBP </w:t>
      </w:r>
      <w:r w:rsidR="00320E19">
        <w:t>30Million Risk Profile: Medium</w:t>
      </w:r>
      <w:r w:rsidR="00320E19">
        <w:tab/>
      </w:r>
      <w:r w:rsidR="00AB4CCD">
        <w:t>Realization 12- 18 months</w:t>
      </w:r>
    </w:p>
    <w:p w14:paraId="3E851351" w14:textId="5ED717B3" w:rsidR="00AB4CCD" w:rsidRDefault="00AB4CCD" w:rsidP="005847FC">
      <w:pPr>
        <w:pStyle w:val="ListParagraph"/>
        <w:numPr>
          <w:ilvl w:val="0"/>
          <w:numId w:val="2"/>
        </w:numPr>
        <w:ind w:left="284" w:hanging="218"/>
      </w:pPr>
      <w:r>
        <w:t xml:space="preserve">Sales of properties </w:t>
      </w:r>
      <w:r w:rsidR="00BC38E9">
        <w:t>at design and approval:</w:t>
      </w:r>
      <w:r w:rsidR="00BC38E9">
        <w:tab/>
        <w:t xml:space="preserve">GDV: GBP </w:t>
      </w:r>
      <w:r w:rsidR="00451F84">
        <w:t>1</w:t>
      </w:r>
      <w:r w:rsidR="001D4737">
        <w:t>00</w:t>
      </w:r>
      <w:r w:rsidR="00BC38E9">
        <w:t>Million Risk Profile: Medium to High: Realization: 18-24 months</w:t>
      </w:r>
      <w:r w:rsidR="00451F84">
        <w:tab/>
      </w:r>
    </w:p>
    <w:p w14:paraId="6F155204" w14:textId="1B9409F2" w:rsidR="00BC38E9" w:rsidRPr="001751C3" w:rsidRDefault="00451F84" w:rsidP="005847FC">
      <w:pPr>
        <w:pStyle w:val="ListParagraph"/>
        <w:numPr>
          <w:ilvl w:val="0"/>
          <w:numId w:val="2"/>
        </w:numPr>
        <w:ind w:left="284" w:hanging="218"/>
      </w:pPr>
      <w:r>
        <w:t>Acquisition of new land bank:</w:t>
      </w:r>
      <w:r>
        <w:tab/>
      </w:r>
      <w:r>
        <w:tab/>
        <w:t xml:space="preserve">GDV </w:t>
      </w:r>
      <w:r w:rsidR="001D4737">
        <w:t>GBP 220Million Risk Profile High</w:t>
      </w:r>
      <w:r w:rsidR="001D4737">
        <w:tab/>
        <w:t xml:space="preserve">Realization: </w:t>
      </w:r>
      <w:r w:rsidR="00241284">
        <w:t>24- 36 months</w:t>
      </w:r>
    </w:p>
    <w:p w14:paraId="4F64FDD4" w14:textId="706A8FF2" w:rsidR="006A5074" w:rsidRDefault="006A5074" w:rsidP="008C3E84"/>
    <w:p w14:paraId="43212043" w14:textId="1CBCBD99" w:rsidR="006A5074" w:rsidRDefault="006A5074" w:rsidP="006A5074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A5074">
        <w:rPr>
          <w:rFonts w:asciiTheme="minorHAnsi" w:hAnsiTheme="minorHAnsi" w:cstheme="minorHAnsi"/>
          <w:b/>
          <w:bCs/>
          <w:sz w:val="22"/>
          <w:szCs w:val="22"/>
        </w:rPr>
        <w:lastRenderedPageBreak/>
        <w:t>Management:</w:t>
      </w:r>
      <w:r w:rsidRPr="006A5074">
        <w:rPr>
          <w:rFonts w:asciiTheme="minorHAnsi" w:hAnsiTheme="minorHAnsi" w:cstheme="minorHAnsi"/>
          <w:sz w:val="22"/>
          <w:szCs w:val="22"/>
        </w:rPr>
        <w:t xml:space="preserve"> </w:t>
      </w:r>
      <w:r w:rsidR="00285C30">
        <w:rPr>
          <w:rFonts w:asciiTheme="minorHAnsi" w:hAnsiTheme="minorHAnsi" w:cstheme="minorHAnsi"/>
          <w:sz w:val="22"/>
          <w:szCs w:val="22"/>
        </w:rPr>
        <w:t>The Group is l</w:t>
      </w:r>
      <w:r w:rsidRPr="006A5074">
        <w:rPr>
          <w:rFonts w:asciiTheme="minorHAnsi" w:hAnsiTheme="minorHAnsi" w:cstheme="minorHAnsi"/>
          <w:color w:val="auto"/>
          <w:sz w:val="22"/>
          <w:szCs w:val="22"/>
        </w:rPr>
        <w:t xml:space="preserve">ed </w:t>
      </w:r>
      <w:r w:rsidR="00285C30">
        <w:rPr>
          <w:rFonts w:asciiTheme="minorHAnsi" w:hAnsiTheme="minorHAnsi" w:cstheme="minorHAnsi"/>
          <w:color w:val="auto"/>
          <w:sz w:val="22"/>
          <w:szCs w:val="22"/>
        </w:rPr>
        <w:t xml:space="preserve">by </w:t>
      </w:r>
      <w:r w:rsidRPr="006A5074">
        <w:rPr>
          <w:rFonts w:asciiTheme="minorHAnsi" w:hAnsiTheme="minorHAnsi" w:cstheme="minorHAnsi"/>
          <w:color w:val="auto"/>
          <w:sz w:val="22"/>
          <w:szCs w:val="22"/>
        </w:rPr>
        <w:t>Simon Marshall</w:t>
      </w:r>
      <w:r w:rsidR="00285C30">
        <w:rPr>
          <w:rFonts w:asciiTheme="minorHAnsi" w:hAnsiTheme="minorHAnsi" w:cstheme="minorHAnsi"/>
          <w:color w:val="auto"/>
          <w:sz w:val="22"/>
          <w:szCs w:val="22"/>
        </w:rPr>
        <w:t xml:space="preserve">, the CEO </w:t>
      </w:r>
      <w:r w:rsidRPr="006A5074">
        <w:rPr>
          <w:rFonts w:asciiTheme="minorHAnsi" w:hAnsiTheme="minorHAnsi" w:cstheme="minorHAnsi"/>
          <w:color w:val="auto"/>
          <w:sz w:val="22"/>
          <w:szCs w:val="22"/>
        </w:rPr>
        <w:t>with his dynamic team built for growth</w:t>
      </w:r>
      <w:r w:rsidR="0005368F">
        <w:rPr>
          <w:rFonts w:asciiTheme="minorHAnsi" w:hAnsiTheme="minorHAnsi" w:cstheme="minorHAnsi"/>
          <w:color w:val="auto"/>
          <w:sz w:val="22"/>
          <w:szCs w:val="22"/>
        </w:rPr>
        <w:t xml:space="preserve"> and quality delivery. </w:t>
      </w:r>
      <w:r w:rsidRPr="006A5074">
        <w:rPr>
          <w:rFonts w:asciiTheme="minorHAnsi" w:hAnsiTheme="minorHAnsi" w:cstheme="minorHAnsi"/>
          <w:color w:val="auto"/>
          <w:sz w:val="22"/>
          <w:szCs w:val="22"/>
        </w:rPr>
        <w:t xml:space="preserve">Simon </w:t>
      </w:r>
      <w:r w:rsidR="0005368F">
        <w:rPr>
          <w:rFonts w:asciiTheme="minorHAnsi" w:hAnsiTheme="minorHAnsi" w:cstheme="minorHAnsi"/>
          <w:color w:val="auto"/>
          <w:sz w:val="22"/>
          <w:szCs w:val="22"/>
        </w:rPr>
        <w:t xml:space="preserve">has extensive experience in retail </w:t>
      </w:r>
      <w:r w:rsidR="00983373">
        <w:rPr>
          <w:rFonts w:asciiTheme="minorHAnsi" w:hAnsiTheme="minorHAnsi" w:cstheme="minorHAnsi"/>
          <w:color w:val="auto"/>
          <w:sz w:val="22"/>
          <w:szCs w:val="22"/>
        </w:rPr>
        <w:t xml:space="preserve">sector </w:t>
      </w:r>
      <w:r w:rsidR="00233A70">
        <w:rPr>
          <w:rFonts w:asciiTheme="minorHAnsi" w:hAnsiTheme="minorHAnsi" w:cstheme="minorHAnsi"/>
          <w:color w:val="auto"/>
          <w:sz w:val="22"/>
          <w:szCs w:val="22"/>
        </w:rPr>
        <w:t xml:space="preserve">in emerging markets. In his latest assignment, </w:t>
      </w:r>
      <w:r w:rsidR="00023FA8">
        <w:rPr>
          <w:rFonts w:asciiTheme="minorHAnsi" w:hAnsiTheme="minorHAnsi" w:cstheme="minorHAnsi"/>
          <w:color w:val="auto"/>
          <w:sz w:val="22"/>
          <w:szCs w:val="22"/>
        </w:rPr>
        <w:t xml:space="preserve">working as CEO  for </w:t>
      </w:r>
      <w:r w:rsidRPr="006A5074">
        <w:rPr>
          <w:rFonts w:asciiTheme="minorHAnsi" w:hAnsiTheme="minorHAnsi" w:cstheme="minorHAnsi"/>
          <w:color w:val="auto"/>
          <w:sz w:val="22"/>
          <w:szCs w:val="22"/>
        </w:rPr>
        <w:t xml:space="preserve">one of </w:t>
      </w:r>
      <w:r w:rsidR="00023FA8">
        <w:rPr>
          <w:rFonts w:asciiTheme="minorHAnsi" w:hAnsiTheme="minorHAnsi" w:cstheme="minorHAnsi"/>
          <w:color w:val="auto"/>
          <w:sz w:val="22"/>
          <w:szCs w:val="22"/>
        </w:rPr>
        <w:t>largest retail</w:t>
      </w:r>
      <w:r w:rsidR="00A36F65">
        <w:rPr>
          <w:rFonts w:asciiTheme="minorHAnsi" w:hAnsiTheme="minorHAnsi" w:cstheme="minorHAnsi"/>
          <w:color w:val="auto"/>
          <w:sz w:val="22"/>
          <w:szCs w:val="22"/>
        </w:rPr>
        <w:t xml:space="preserve">er in </w:t>
      </w:r>
      <w:r w:rsidRPr="006A5074">
        <w:rPr>
          <w:rFonts w:asciiTheme="minorHAnsi" w:hAnsiTheme="minorHAnsi" w:cstheme="minorHAnsi"/>
          <w:color w:val="auto"/>
          <w:sz w:val="22"/>
          <w:szCs w:val="22"/>
        </w:rPr>
        <w:t>the Middle East’</w:t>
      </w:r>
      <w:r w:rsidR="00A36F65">
        <w:rPr>
          <w:rFonts w:asciiTheme="minorHAnsi" w:hAnsiTheme="minorHAnsi" w:cstheme="minorHAnsi"/>
          <w:color w:val="auto"/>
          <w:sz w:val="22"/>
          <w:szCs w:val="22"/>
        </w:rPr>
        <w:t xml:space="preserve">, delivered </w:t>
      </w:r>
      <w:r w:rsidR="00242F8B">
        <w:rPr>
          <w:rFonts w:asciiTheme="minorHAnsi" w:hAnsiTheme="minorHAnsi" w:cstheme="minorHAnsi"/>
          <w:color w:val="auto"/>
          <w:sz w:val="22"/>
          <w:szCs w:val="22"/>
        </w:rPr>
        <w:t xml:space="preserve">equity </w:t>
      </w:r>
      <w:r w:rsidR="00A36F65">
        <w:rPr>
          <w:rFonts w:asciiTheme="minorHAnsi" w:hAnsiTheme="minorHAnsi" w:cstheme="minorHAnsi"/>
          <w:color w:val="auto"/>
          <w:sz w:val="22"/>
          <w:szCs w:val="22"/>
        </w:rPr>
        <w:t xml:space="preserve">growth from </w:t>
      </w:r>
      <w:r w:rsidRPr="006A5074">
        <w:rPr>
          <w:rFonts w:asciiTheme="minorHAnsi" w:hAnsiTheme="minorHAnsi" w:cstheme="minorHAnsi"/>
          <w:color w:val="auto"/>
          <w:sz w:val="22"/>
          <w:szCs w:val="22"/>
        </w:rPr>
        <w:t>$200m to over $12bn</w:t>
      </w:r>
      <w:r w:rsidR="00A36F6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42F8B">
        <w:rPr>
          <w:rFonts w:asciiTheme="minorHAnsi" w:hAnsiTheme="minorHAnsi" w:cstheme="minorHAnsi"/>
          <w:color w:val="auto"/>
          <w:sz w:val="22"/>
          <w:szCs w:val="22"/>
        </w:rPr>
        <w:t xml:space="preserve">over 10 years period </w:t>
      </w:r>
      <w:r w:rsidR="003C580A">
        <w:rPr>
          <w:rFonts w:asciiTheme="minorHAnsi" w:hAnsiTheme="minorHAnsi" w:cstheme="minorHAnsi"/>
          <w:color w:val="auto"/>
          <w:sz w:val="22"/>
          <w:szCs w:val="22"/>
        </w:rPr>
        <w:t>with establishing 3400 stores across 16 16 countries in emerging markets</w:t>
      </w:r>
      <w:r w:rsidR="00570AF8">
        <w:rPr>
          <w:rFonts w:asciiTheme="minorHAnsi" w:hAnsiTheme="minorHAnsi" w:cstheme="minorHAnsi"/>
          <w:color w:val="auto"/>
          <w:sz w:val="22"/>
          <w:szCs w:val="22"/>
        </w:rPr>
        <w:t xml:space="preserve"> establishing </w:t>
      </w:r>
      <w:r w:rsidRPr="006A5074">
        <w:rPr>
          <w:rFonts w:asciiTheme="minorHAnsi" w:hAnsiTheme="minorHAnsi" w:cstheme="minorHAnsi"/>
          <w:color w:val="auto"/>
          <w:sz w:val="22"/>
          <w:szCs w:val="22"/>
        </w:rPr>
        <w:t xml:space="preserve">the group </w:t>
      </w:r>
      <w:r w:rsidR="00570AF8">
        <w:rPr>
          <w:rFonts w:asciiTheme="minorHAnsi" w:hAnsiTheme="minorHAnsi" w:cstheme="minorHAnsi"/>
          <w:color w:val="auto"/>
          <w:sz w:val="22"/>
          <w:szCs w:val="22"/>
        </w:rPr>
        <w:t xml:space="preserve">to </w:t>
      </w:r>
      <w:r w:rsidRPr="006A5074">
        <w:rPr>
          <w:rFonts w:asciiTheme="minorHAnsi" w:hAnsiTheme="minorHAnsi" w:cstheme="minorHAnsi"/>
          <w:color w:val="auto"/>
          <w:sz w:val="22"/>
          <w:szCs w:val="22"/>
        </w:rPr>
        <w:t xml:space="preserve">became one of the world’s largest shopping mall builders managing more than 5,000,000 </w:t>
      </w:r>
      <w:proofErr w:type="spellStart"/>
      <w:r w:rsidRPr="006A5074">
        <w:rPr>
          <w:rFonts w:asciiTheme="minorHAnsi" w:hAnsiTheme="minorHAnsi" w:cstheme="minorHAnsi"/>
          <w:color w:val="auto"/>
          <w:sz w:val="22"/>
          <w:szCs w:val="22"/>
        </w:rPr>
        <w:t>sq.ft</w:t>
      </w:r>
      <w:proofErr w:type="spellEnd"/>
      <w:r w:rsidRPr="006A5074">
        <w:rPr>
          <w:rFonts w:asciiTheme="minorHAnsi" w:hAnsiTheme="minorHAnsi" w:cstheme="minorHAnsi"/>
          <w:color w:val="auto"/>
          <w:sz w:val="22"/>
          <w:szCs w:val="22"/>
        </w:rPr>
        <w:t>. of retail space.</w:t>
      </w:r>
    </w:p>
    <w:p w14:paraId="0FC269C1" w14:textId="2049EBAA" w:rsidR="00F347BB" w:rsidRDefault="00F347BB" w:rsidP="006A5074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EE2AB07" w14:textId="7273ABB9" w:rsidR="00F347BB" w:rsidRPr="00C37E5B" w:rsidRDefault="00F347BB" w:rsidP="006A5074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C37E5B">
        <w:rPr>
          <w:rFonts w:asciiTheme="minorHAnsi" w:hAnsiTheme="minorHAnsi" w:cstheme="minorHAnsi"/>
          <w:b/>
          <w:bCs/>
          <w:color w:val="auto"/>
          <w:sz w:val="22"/>
          <w:szCs w:val="22"/>
        </w:rPr>
        <w:t>Operational Model:</w:t>
      </w:r>
    </w:p>
    <w:p w14:paraId="5A8FD4F6" w14:textId="0FEB4584" w:rsidR="00F347BB" w:rsidRDefault="00C37E5B" w:rsidP="006A507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F05D0FD" wp14:editId="1669A5B1">
            <wp:extent cx="5676900" cy="288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D2D1" w14:textId="77777777" w:rsidR="00A174C9" w:rsidRDefault="00A174C9" w:rsidP="006A5074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FD698B7" w14:textId="10D046B9" w:rsidR="00C77B61" w:rsidRPr="00A174C9" w:rsidRDefault="00A174C9" w:rsidP="006A5074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174C9">
        <w:rPr>
          <w:rFonts w:asciiTheme="minorHAnsi" w:hAnsiTheme="minorHAnsi" w:cstheme="minorHAnsi"/>
          <w:b/>
          <w:bCs/>
          <w:sz w:val="22"/>
          <w:szCs w:val="22"/>
        </w:rPr>
        <w:t>Proposed Transaction:</w:t>
      </w:r>
    </w:p>
    <w:p w14:paraId="40C424D8" w14:textId="77777777" w:rsidR="00A174C9" w:rsidRDefault="00A174C9" w:rsidP="00A174C9">
      <w:pPr>
        <w:pStyle w:val="Default"/>
      </w:pPr>
    </w:p>
    <w:p w14:paraId="34B97C4A" w14:textId="57EDBDC7" w:rsidR="00A174C9" w:rsidRDefault="000B5A89" w:rsidP="00A174C9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>Financing amount</w:t>
      </w:r>
      <w:r w:rsidR="00A174C9">
        <w:rPr>
          <w:b/>
          <w:bCs/>
          <w:color w:val="auto"/>
          <w:sz w:val="18"/>
          <w:szCs w:val="18"/>
        </w:rPr>
        <w:t xml:space="preserve">:  </w:t>
      </w:r>
      <w:r w:rsidR="00966451">
        <w:rPr>
          <w:b/>
          <w:bCs/>
          <w:color w:val="auto"/>
          <w:sz w:val="18"/>
          <w:szCs w:val="18"/>
        </w:rPr>
        <w:tab/>
      </w:r>
      <w:r w:rsidR="00A174C9">
        <w:rPr>
          <w:b/>
          <w:bCs/>
          <w:color w:val="auto"/>
          <w:sz w:val="18"/>
          <w:szCs w:val="18"/>
        </w:rPr>
        <w:t>£5,000,000</w:t>
      </w:r>
      <w:r w:rsidR="00966451">
        <w:rPr>
          <w:b/>
          <w:bCs/>
          <w:color w:val="auto"/>
          <w:sz w:val="18"/>
          <w:szCs w:val="18"/>
        </w:rPr>
        <w:t xml:space="preserve"> for 20% stake</w:t>
      </w:r>
    </w:p>
    <w:p w14:paraId="57CEF7BA" w14:textId="33AF9FE4" w:rsidR="00A174C9" w:rsidRDefault="00D36E35" w:rsidP="00A174C9">
      <w:pPr>
        <w:pStyle w:val="Default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>Preferred dividends</w:t>
      </w:r>
      <w:r w:rsidR="00A174C9">
        <w:rPr>
          <w:b/>
          <w:bCs/>
          <w:color w:val="auto"/>
          <w:sz w:val="18"/>
          <w:szCs w:val="18"/>
        </w:rPr>
        <w:t xml:space="preserve">: </w:t>
      </w:r>
      <w:r w:rsidR="00966451"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>15%</w:t>
      </w:r>
      <w:r w:rsidR="00441FA9">
        <w:rPr>
          <w:b/>
          <w:bCs/>
          <w:color w:val="auto"/>
          <w:sz w:val="18"/>
          <w:szCs w:val="18"/>
        </w:rPr>
        <w:t xml:space="preserve"> </w:t>
      </w:r>
      <w:r w:rsidR="00C221E3">
        <w:rPr>
          <w:b/>
          <w:bCs/>
          <w:color w:val="auto"/>
          <w:sz w:val="18"/>
          <w:szCs w:val="18"/>
        </w:rPr>
        <w:t xml:space="preserve">per annum </w:t>
      </w:r>
      <w:r w:rsidR="007308D8">
        <w:rPr>
          <w:b/>
          <w:bCs/>
          <w:color w:val="auto"/>
          <w:sz w:val="18"/>
          <w:szCs w:val="18"/>
        </w:rPr>
        <w:t>for first year</w:t>
      </w:r>
      <w:r w:rsidR="00036FFA">
        <w:rPr>
          <w:b/>
          <w:bCs/>
          <w:color w:val="auto"/>
          <w:sz w:val="18"/>
          <w:szCs w:val="18"/>
        </w:rPr>
        <w:t xml:space="preserve"> paid </w:t>
      </w:r>
      <w:proofErr w:type="gramStart"/>
      <w:r w:rsidR="00982C00">
        <w:rPr>
          <w:b/>
          <w:bCs/>
          <w:color w:val="auto"/>
          <w:sz w:val="18"/>
          <w:szCs w:val="18"/>
        </w:rPr>
        <w:t>semi-annually;</w:t>
      </w:r>
      <w:proofErr w:type="gramEnd"/>
      <w:r w:rsidR="00982C00">
        <w:rPr>
          <w:b/>
          <w:bCs/>
          <w:color w:val="auto"/>
          <w:sz w:val="18"/>
          <w:szCs w:val="18"/>
        </w:rPr>
        <w:t xml:space="preserve"> </w:t>
      </w:r>
    </w:p>
    <w:p w14:paraId="5CC487D7" w14:textId="2A449A5E" w:rsidR="007308D8" w:rsidRDefault="007308D8" w:rsidP="00A174C9">
      <w:pPr>
        <w:pStyle w:val="Default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  <w:t>17.5% pr annuum for second year</w:t>
      </w:r>
      <w:r w:rsidR="00982C00">
        <w:rPr>
          <w:b/>
          <w:bCs/>
          <w:color w:val="auto"/>
          <w:sz w:val="18"/>
          <w:szCs w:val="18"/>
        </w:rPr>
        <w:t xml:space="preserve"> paid semi-annually</w:t>
      </w:r>
    </w:p>
    <w:p w14:paraId="1CDCB062" w14:textId="77777777" w:rsidR="00982C00" w:rsidRDefault="007308D8" w:rsidP="00982C00">
      <w:pPr>
        <w:pStyle w:val="Default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  <w:t>20% per annum for third year</w:t>
      </w:r>
      <w:r w:rsidR="00982C00">
        <w:rPr>
          <w:b/>
          <w:bCs/>
          <w:color w:val="auto"/>
          <w:sz w:val="18"/>
          <w:szCs w:val="18"/>
        </w:rPr>
        <w:t xml:space="preserve"> paid </w:t>
      </w:r>
      <w:proofErr w:type="gramStart"/>
      <w:r w:rsidR="00982C00">
        <w:rPr>
          <w:b/>
          <w:bCs/>
          <w:color w:val="auto"/>
          <w:sz w:val="18"/>
          <w:szCs w:val="18"/>
        </w:rPr>
        <w:t>semi-annually;</w:t>
      </w:r>
      <w:proofErr w:type="gramEnd"/>
      <w:r w:rsidR="00982C00">
        <w:rPr>
          <w:b/>
          <w:bCs/>
          <w:color w:val="auto"/>
          <w:sz w:val="18"/>
          <w:szCs w:val="18"/>
        </w:rPr>
        <w:t xml:space="preserve"> </w:t>
      </w:r>
    </w:p>
    <w:p w14:paraId="39123CDC" w14:textId="5967606A" w:rsidR="007308D8" w:rsidRDefault="007308D8" w:rsidP="00A174C9">
      <w:pPr>
        <w:pStyle w:val="Default"/>
        <w:rPr>
          <w:b/>
          <w:bCs/>
          <w:color w:val="auto"/>
          <w:sz w:val="18"/>
          <w:szCs w:val="18"/>
        </w:rPr>
      </w:pPr>
    </w:p>
    <w:p w14:paraId="49C898FC" w14:textId="2FA1E07A" w:rsidR="00670DCC" w:rsidRDefault="00670DCC" w:rsidP="00A174C9">
      <w:pPr>
        <w:pStyle w:val="Default"/>
        <w:rPr>
          <w:b/>
          <w:bCs/>
          <w:color w:val="auto"/>
          <w:sz w:val="18"/>
          <w:szCs w:val="18"/>
        </w:rPr>
      </w:pPr>
    </w:p>
    <w:p w14:paraId="702D757E" w14:textId="705F5777" w:rsidR="00670DCC" w:rsidRDefault="00670DCC" w:rsidP="00A174C9">
      <w:pPr>
        <w:pStyle w:val="Default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>Common dividends:</w:t>
      </w:r>
      <w:r>
        <w:rPr>
          <w:b/>
          <w:bCs/>
          <w:color w:val="auto"/>
          <w:sz w:val="18"/>
          <w:szCs w:val="18"/>
        </w:rPr>
        <w:tab/>
      </w:r>
      <w:r w:rsidR="003734BE">
        <w:rPr>
          <w:b/>
          <w:bCs/>
          <w:color w:val="auto"/>
          <w:sz w:val="18"/>
          <w:szCs w:val="18"/>
        </w:rPr>
        <w:t xml:space="preserve">As per </w:t>
      </w:r>
      <w:r w:rsidR="00F55746">
        <w:rPr>
          <w:b/>
          <w:bCs/>
          <w:color w:val="auto"/>
          <w:sz w:val="18"/>
          <w:szCs w:val="18"/>
        </w:rPr>
        <w:t>s</w:t>
      </w:r>
      <w:r w:rsidR="003734BE">
        <w:rPr>
          <w:b/>
          <w:bCs/>
          <w:color w:val="auto"/>
          <w:sz w:val="18"/>
          <w:szCs w:val="18"/>
        </w:rPr>
        <w:t xml:space="preserve">hareholding </w:t>
      </w:r>
      <w:r w:rsidR="00F55746">
        <w:rPr>
          <w:b/>
          <w:bCs/>
          <w:color w:val="auto"/>
          <w:sz w:val="18"/>
          <w:szCs w:val="18"/>
        </w:rPr>
        <w:t>p</w:t>
      </w:r>
      <w:r w:rsidR="003B02B1">
        <w:rPr>
          <w:b/>
          <w:bCs/>
          <w:color w:val="auto"/>
          <w:sz w:val="18"/>
          <w:szCs w:val="18"/>
        </w:rPr>
        <w:t>ost three</w:t>
      </w:r>
      <w:r w:rsidR="00F55746">
        <w:rPr>
          <w:b/>
          <w:bCs/>
          <w:color w:val="auto"/>
          <w:sz w:val="18"/>
          <w:szCs w:val="18"/>
        </w:rPr>
        <w:t>-</w:t>
      </w:r>
      <w:r w:rsidR="003B02B1">
        <w:rPr>
          <w:b/>
          <w:bCs/>
          <w:color w:val="auto"/>
          <w:sz w:val="18"/>
          <w:szCs w:val="18"/>
        </w:rPr>
        <w:t xml:space="preserve">year </w:t>
      </w:r>
      <w:r w:rsidR="00F55746">
        <w:rPr>
          <w:b/>
          <w:bCs/>
          <w:color w:val="auto"/>
          <w:sz w:val="18"/>
          <w:szCs w:val="18"/>
        </w:rPr>
        <w:t>period</w:t>
      </w:r>
    </w:p>
    <w:p w14:paraId="14AB559D" w14:textId="0C001260" w:rsidR="00DB481B" w:rsidRDefault="00DB481B" w:rsidP="00A174C9">
      <w:pPr>
        <w:pStyle w:val="Default"/>
        <w:rPr>
          <w:b/>
          <w:bCs/>
          <w:color w:val="auto"/>
          <w:sz w:val="18"/>
          <w:szCs w:val="18"/>
        </w:rPr>
      </w:pPr>
    </w:p>
    <w:p w14:paraId="79CD9209" w14:textId="573D8549" w:rsidR="00DB481B" w:rsidRDefault="00B8713D" w:rsidP="00A174C9">
      <w:pPr>
        <w:pStyle w:val="Default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>Expected Equity IRR</w:t>
      </w:r>
      <w:r>
        <w:rPr>
          <w:b/>
          <w:bCs/>
          <w:color w:val="auto"/>
          <w:sz w:val="18"/>
          <w:szCs w:val="18"/>
        </w:rPr>
        <w:tab/>
        <w:t>30%</w:t>
      </w:r>
    </w:p>
    <w:p w14:paraId="37FC3ED4" w14:textId="77777777" w:rsidR="007308D8" w:rsidRDefault="007308D8" w:rsidP="00A174C9">
      <w:pPr>
        <w:pStyle w:val="Default"/>
        <w:rPr>
          <w:color w:val="auto"/>
          <w:sz w:val="18"/>
          <w:szCs w:val="18"/>
        </w:rPr>
      </w:pPr>
    </w:p>
    <w:p w14:paraId="3F696D1D" w14:textId="52028F6B" w:rsidR="00A174C9" w:rsidRPr="00257DB0" w:rsidRDefault="00E85422" w:rsidP="00A174C9">
      <w:pPr>
        <w:pStyle w:val="Default"/>
        <w:spacing w:after="17"/>
        <w:rPr>
          <w:b/>
          <w:bCs/>
          <w:color w:val="auto"/>
          <w:sz w:val="18"/>
          <w:szCs w:val="18"/>
        </w:rPr>
      </w:pPr>
      <w:r w:rsidRPr="00257DB0">
        <w:rPr>
          <w:b/>
          <w:bCs/>
          <w:color w:val="auto"/>
          <w:sz w:val="18"/>
          <w:szCs w:val="18"/>
        </w:rPr>
        <w:t xml:space="preserve">Use of Funds: </w:t>
      </w:r>
      <w:r w:rsidRPr="00257DB0">
        <w:rPr>
          <w:b/>
          <w:bCs/>
          <w:color w:val="auto"/>
          <w:sz w:val="18"/>
          <w:szCs w:val="18"/>
        </w:rPr>
        <w:tab/>
      </w:r>
      <w:r w:rsidRPr="00257DB0">
        <w:rPr>
          <w:b/>
          <w:bCs/>
          <w:color w:val="auto"/>
          <w:sz w:val="18"/>
          <w:szCs w:val="18"/>
        </w:rPr>
        <w:tab/>
      </w:r>
      <w:r w:rsidR="00A174C9" w:rsidRPr="00257DB0">
        <w:rPr>
          <w:b/>
          <w:bCs/>
          <w:color w:val="auto"/>
          <w:sz w:val="18"/>
          <w:szCs w:val="18"/>
        </w:rPr>
        <w:t>Investment is to be entirely allocated to the purchase of new development sites.</w:t>
      </w:r>
    </w:p>
    <w:p w14:paraId="4A8BCC20" w14:textId="2E2DAFED" w:rsidR="00A174C9" w:rsidRDefault="00A174C9" w:rsidP="00A174C9">
      <w:pPr>
        <w:pStyle w:val="Default"/>
        <w:spacing w:after="17"/>
        <w:rPr>
          <w:color w:val="auto"/>
          <w:sz w:val="18"/>
          <w:szCs w:val="18"/>
        </w:rPr>
      </w:pPr>
    </w:p>
    <w:p w14:paraId="77D52444" w14:textId="191D3209" w:rsidR="00E26A1D" w:rsidRDefault="00E26A1D" w:rsidP="00E26A1D">
      <w:pPr>
        <w:pStyle w:val="Default"/>
        <w:ind w:left="2160" w:hanging="2160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>Funding Vehicle:</w:t>
      </w:r>
      <w:r>
        <w:rPr>
          <w:b/>
          <w:bCs/>
          <w:color w:val="auto"/>
          <w:sz w:val="18"/>
          <w:szCs w:val="18"/>
        </w:rPr>
        <w:tab/>
        <w:t>ME Holdco</w:t>
      </w:r>
    </w:p>
    <w:p w14:paraId="32B77DDF" w14:textId="77777777" w:rsidR="00E26A1D" w:rsidRDefault="00E26A1D" w:rsidP="00E26A1D">
      <w:pPr>
        <w:pStyle w:val="Default"/>
        <w:ind w:left="2160" w:hanging="2160"/>
        <w:rPr>
          <w:b/>
          <w:bCs/>
          <w:color w:val="auto"/>
          <w:sz w:val="18"/>
          <w:szCs w:val="18"/>
        </w:rPr>
      </w:pPr>
    </w:p>
    <w:p w14:paraId="516DF22F" w14:textId="46DD4BF3" w:rsidR="00E26A1D" w:rsidRDefault="00257DB0" w:rsidP="00E26A1D">
      <w:pPr>
        <w:pStyle w:val="Default"/>
        <w:ind w:left="2160" w:hanging="2160"/>
        <w:rPr>
          <w:color w:val="auto"/>
          <w:sz w:val="18"/>
          <w:szCs w:val="18"/>
        </w:rPr>
      </w:pPr>
      <w:r w:rsidRPr="00257DB0">
        <w:rPr>
          <w:b/>
          <w:bCs/>
          <w:color w:val="auto"/>
          <w:sz w:val="18"/>
          <w:szCs w:val="18"/>
        </w:rPr>
        <w:t>Capital Commitment:</w:t>
      </w:r>
      <w:r>
        <w:rPr>
          <w:b/>
          <w:bCs/>
          <w:color w:val="auto"/>
          <w:sz w:val="18"/>
          <w:szCs w:val="18"/>
        </w:rPr>
        <w:tab/>
      </w:r>
      <w:r w:rsidR="00E26A1D" w:rsidRPr="00E26A1D">
        <w:rPr>
          <w:b/>
          <w:bCs/>
          <w:color w:val="auto"/>
          <w:sz w:val="18"/>
          <w:szCs w:val="18"/>
        </w:rPr>
        <w:t xml:space="preserve">Further capital may be required when projects become available allowing the company to </w:t>
      </w:r>
      <w:r w:rsidR="00E26A1D">
        <w:rPr>
          <w:color w:val="auto"/>
          <w:sz w:val="18"/>
          <w:szCs w:val="18"/>
        </w:rPr>
        <w:t>rapidly expand</w:t>
      </w:r>
    </w:p>
    <w:p w14:paraId="0EA35428" w14:textId="77777777" w:rsidR="00E26A1D" w:rsidRDefault="00E26A1D" w:rsidP="00E26A1D">
      <w:pPr>
        <w:pStyle w:val="Default"/>
        <w:ind w:left="2160" w:hanging="2160"/>
        <w:rPr>
          <w:color w:val="auto"/>
          <w:sz w:val="18"/>
          <w:szCs w:val="18"/>
        </w:rPr>
      </w:pPr>
    </w:p>
    <w:p w14:paraId="68052CE2" w14:textId="01F0D18A" w:rsidR="00E26A1D" w:rsidRDefault="00E26A1D" w:rsidP="00E26A1D">
      <w:pPr>
        <w:pStyle w:val="Default"/>
        <w:ind w:left="2160" w:hanging="21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.</w:t>
      </w:r>
    </w:p>
    <w:p w14:paraId="0D04AAAF" w14:textId="2997D2BD" w:rsidR="00257DB0" w:rsidRPr="00257DB0" w:rsidRDefault="00257DB0" w:rsidP="00A174C9">
      <w:pPr>
        <w:pStyle w:val="Default"/>
        <w:spacing w:after="17"/>
        <w:rPr>
          <w:b/>
          <w:bCs/>
          <w:color w:val="auto"/>
          <w:sz w:val="18"/>
          <w:szCs w:val="18"/>
        </w:rPr>
      </w:pPr>
    </w:p>
    <w:p w14:paraId="1B81EB5C" w14:textId="3008186A" w:rsidR="00982C00" w:rsidRDefault="00036FFA" w:rsidP="006A5074">
      <w:pPr>
        <w:pStyle w:val="Default"/>
        <w:jc w:val="both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>Risk Consideration</w:t>
      </w:r>
      <w:r w:rsidR="00ED6F7D" w:rsidRPr="00257DB0">
        <w:rPr>
          <w:b/>
          <w:bCs/>
          <w:color w:val="auto"/>
          <w:sz w:val="18"/>
          <w:szCs w:val="18"/>
        </w:rPr>
        <w:t>:</w:t>
      </w:r>
      <w:r>
        <w:rPr>
          <w:b/>
          <w:bCs/>
          <w:color w:val="auto"/>
          <w:sz w:val="18"/>
          <w:szCs w:val="18"/>
        </w:rPr>
        <w:tab/>
        <w:t xml:space="preserve">High cash </w:t>
      </w:r>
      <w:r w:rsidR="00982C00">
        <w:rPr>
          <w:b/>
          <w:bCs/>
          <w:color w:val="auto"/>
          <w:sz w:val="18"/>
          <w:szCs w:val="18"/>
        </w:rPr>
        <w:t xml:space="preserve">Yield for first three </w:t>
      </w:r>
      <w:proofErr w:type="gramStart"/>
      <w:r w:rsidR="00982C00">
        <w:rPr>
          <w:b/>
          <w:bCs/>
          <w:color w:val="auto"/>
          <w:sz w:val="18"/>
          <w:szCs w:val="18"/>
        </w:rPr>
        <w:t>years;</w:t>
      </w:r>
      <w:proofErr w:type="gramEnd"/>
    </w:p>
    <w:p w14:paraId="419D66C9" w14:textId="56FB1EEC" w:rsidR="00982C00" w:rsidRDefault="00982C00" w:rsidP="006A5074">
      <w:pPr>
        <w:pStyle w:val="Default"/>
        <w:jc w:val="both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  <w:t>Hard collateral</w:t>
      </w:r>
      <w:r w:rsidR="004D268C">
        <w:rPr>
          <w:b/>
          <w:bCs/>
          <w:color w:val="auto"/>
          <w:sz w:val="18"/>
          <w:szCs w:val="18"/>
        </w:rPr>
        <w:t xml:space="preserve"> in first three </w:t>
      </w:r>
      <w:proofErr w:type="gramStart"/>
      <w:r w:rsidR="004D268C">
        <w:rPr>
          <w:b/>
          <w:bCs/>
          <w:color w:val="auto"/>
          <w:sz w:val="18"/>
          <w:szCs w:val="18"/>
        </w:rPr>
        <w:t>years;</w:t>
      </w:r>
      <w:proofErr w:type="gramEnd"/>
    </w:p>
    <w:p w14:paraId="2E10A1DE" w14:textId="69DB055B" w:rsidR="004D268C" w:rsidRDefault="004D268C" w:rsidP="006A5074">
      <w:pPr>
        <w:pStyle w:val="Default"/>
        <w:jc w:val="both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  <w:t xml:space="preserve">Equity build-up over a </w:t>
      </w:r>
      <w:proofErr w:type="gramStart"/>
      <w:r>
        <w:rPr>
          <w:b/>
          <w:bCs/>
          <w:color w:val="auto"/>
          <w:sz w:val="18"/>
          <w:szCs w:val="18"/>
        </w:rPr>
        <w:t>period;</w:t>
      </w:r>
      <w:proofErr w:type="gramEnd"/>
    </w:p>
    <w:p w14:paraId="7ADE2091" w14:textId="12696581" w:rsidR="004D268C" w:rsidRDefault="004D268C" w:rsidP="004D268C">
      <w:pPr>
        <w:pStyle w:val="Default"/>
        <w:ind w:left="1440" w:firstLine="720"/>
        <w:jc w:val="both"/>
        <w:rPr>
          <w:b/>
          <w:bCs/>
          <w:color w:val="auto"/>
          <w:sz w:val="18"/>
          <w:szCs w:val="18"/>
        </w:rPr>
      </w:pPr>
      <w:proofErr w:type="gramStart"/>
      <w:r>
        <w:rPr>
          <w:b/>
          <w:bCs/>
          <w:color w:val="auto"/>
          <w:sz w:val="18"/>
          <w:szCs w:val="18"/>
        </w:rPr>
        <w:t>Leverage;</w:t>
      </w:r>
      <w:proofErr w:type="gramEnd"/>
    </w:p>
    <w:p w14:paraId="7067B97C" w14:textId="0C0CC01F" w:rsidR="004D268C" w:rsidRDefault="004D268C" w:rsidP="004D268C">
      <w:pPr>
        <w:pStyle w:val="Default"/>
        <w:ind w:left="1440" w:firstLine="720"/>
        <w:jc w:val="both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Tax </w:t>
      </w:r>
      <w:proofErr w:type="gramStart"/>
      <w:r>
        <w:rPr>
          <w:b/>
          <w:bCs/>
          <w:color w:val="auto"/>
          <w:sz w:val="18"/>
          <w:szCs w:val="18"/>
        </w:rPr>
        <w:t>advantage;</w:t>
      </w:r>
      <w:proofErr w:type="gramEnd"/>
    </w:p>
    <w:p w14:paraId="6BDE0090" w14:textId="77777777" w:rsidR="004D268C" w:rsidRDefault="004D268C" w:rsidP="006A5074">
      <w:pPr>
        <w:pStyle w:val="Default"/>
        <w:jc w:val="both"/>
        <w:rPr>
          <w:b/>
          <w:bCs/>
          <w:color w:val="auto"/>
          <w:sz w:val="18"/>
          <w:szCs w:val="18"/>
        </w:rPr>
      </w:pPr>
    </w:p>
    <w:p w14:paraId="1A6E3412" w14:textId="0AF00F40" w:rsidR="00A174C9" w:rsidRDefault="00982C00" w:rsidP="006A5074">
      <w:pPr>
        <w:pStyle w:val="Default"/>
        <w:jc w:val="both"/>
        <w:rPr>
          <w:b/>
          <w:bCs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</w:r>
      <w:r>
        <w:rPr>
          <w:b/>
          <w:bCs/>
          <w:color w:val="auto"/>
          <w:sz w:val="18"/>
          <w:szCs w:val="18"/>
        </w:rPr>
        <w:tab/>
      </w:r>
      <w:r w:rsidR="00036FFA">
        <w:rPr>
          <w:b/>
          <w:bCs/>
          <w:color w:val="auto"/>
          <w:sz w:val="18"/>
          <w:szCs w:val="18"/>
        </w:rPr>
        <w:tab/>
      </w:r>
    </w:p>
    <w:p w14:paraId="3685C764" w14:textId="18920861" w:rsidR="006B7C1F" w:rsidRPr="006A5074" w:rsidRDefault="006B7C1F" w:rsidP="006A507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9F6B573" wp14:editId="775525A4">
            <wp:extent cx="4626610" cy="2367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C1F" w:rsidRPr="006A5074" w:rsidSect="00F26AFF">
      <w:pgSz w:w="12240" w:h="15840"/>
      <w:pgMar w:top="1440" w:right="118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10407"/>
    <w:multiLevelType w:val="hybridMultilevel"/>
    <w:tmpl w:val="710A19C4"/>
    <w:lvl w:ilvl="0" w:tplc="B9C2D29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87156"/>
    <w:multiLevelType w:val="hybridMultilevel"/>
    <w:tmpl w:val="B524CA58"/>
    <w:lvl w:ilvl="0" w:tplc="B1B27F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84"/>
    <w:rsid w:val="00023FA8"/>
    <w:rsid w:val="00036FFA"/>
    <w:rsid w:val="0005368F"/>
    <w:rsid w:val="000734DA"/>
    <w:rsid w:val="00086372"/>
    <w:rsid w:val="000B5A89"/>
    <w:rsid w:val="000F18B4"/>
    <w:rsid w:val="001751C3"/>
    <w:rsid w:val="001A13AA"/>
    <w:rsid w:val="001B2210"/>
    <w:rsid w:val="001D4737"/>
    <w:rsid w:val="0020352D"/>
    <w:rsid w:val="00233A70"/>
    <w:rsid w:val="00241284"/>
    <w:rsid w:val="00242F8B"/>
    <w:rsid w:val="00257DB0"/>
    <w:rsid w:val="00285C30"/>
    <w:rsid w:val="00320E19"/>
    <w:rsid w:val="003734BE"/>
    <w:rsid w:val="003B02B1"/>
    <w:rsid w:val="003C580A"/>
    <w:rsid w:val="00441FA9"/>
    <w:rsid w:val="00451F84"/>
    <w:rsid w:val="00494501"/>
    <w:rsid w:val="004D268C"/>
    <w:rsid w:val="00563490"/>
    <w:rsid w:val="00570AF8"/>
    <w:rsid w:val="0058469A"/>
    <w:rsid w:val="005847FC"/>
    <w:rsid w:val="00670DCC"/>
    <w:rsid w:val="006A5074"/>
    <w:rsid w:val="006B7C1F"/>
    <w:rsid w:val="007308D8"/>
    <w:rsid w:val="008107A1"/>
    <w:rsid w:val="008350EB"/>
    <w:rsid w:val="00850F19"/>
    <w:rsid w:val="008C3E84"/>
    <w:rsid w:val="009522C5"/>
    <w:rsid w:val="00966451"/>
    <w:rsid w:val="00982C00"/>
    <w:rsid w:val="00983373"/>
    <w:rsid w:val="009D3A22"/>
    <w:rsid w:val="00A174C9"/>
    <w:rsid w:val="00A36F65"/>
    <w:rsid w:val="00A714C0"/>
    <w:rsid w:val="00AB4CCD"/>
    <w:rsid w:val="00AB5BAE"/>
    <w:rsid w:val="00AF3893"/>
    <w:rsid w:val="00B02296"/>
    <w:rsid w:val="00B8713D"/>
    <w:rsid w:val="00B906CA"/>
    <w:rsid w:val="00BC38E9"/>
    <w:rsid w:val="00C21DEC"/>
    <w:rsid w:val="00C221E3"/>
    <w:rsid w:val="00C37E5B"/>
    <w:rsid w:val="00C77B61"/>
    <w:rsid w:val="00D36E35"/>
    <w:rsid w:val="00D46FA1"/>
    <w:rsid w:val="00DB1C13"/>
    <w:rsid w:val="00DB481B"/>
    <w:rsid w:val="00E26A1D"/>
    <w:rsid w:val="00E7363C"/>
    <w:rsid w:val="00E85422"/>
    <w:rsid w:val="00EB46AB"/>
    <w:rsid w:val="00ED6F7D"/>
    <w:rsid w:val="00F26AFF"/>
    <w:rsid w:val="00F347BB"/>
    <w:rsid w:val="00F46FF6"/>
    <w:rsid w:val="00F53A31"/>
    <w:rsid w:val="00F5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030F"/>
  <w15:chartTrackingRefBased/>
  <w15:docId w15:val="{667A4678-35AA-4BB1-ABF3-6296E322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3E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EB8409C2A2849829117C94358ABD9" ma:contentTypeVersion="10" ma:contentTypeDescription="Create a new document." ma:contentTypeScope="" ma:versionID="cdec4bff36c385dcd8247d1fc5427ced">
  <xsd:schema xmlns:xsd="http://www.w3.org/2001/XMLSchema" xmlns:xs="http://www.w3.org/2001/XMLSchema" xmlns:p="http://schemas.microsoft.com/office/2006/metadata/properties" xmlns:ns3="44d8f6e4-8404-49f6-a8d1-234d9c7fec8e" targetNamespace="http://schemas.microsoft.com/office/2006/metadata/properties" ma:root="true" ma:fieldsID="eaf9032b3b531098f6bf666769d15d1a" ns3:_="">
    <xsd:import namespace="44d8f6e4-8404-49f6-a8d1-234d9c7fec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8f6e4-8404-49f6-a8d1-234d9c7fec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2DE10-DA64-49B2-8C0C-6C7F333C3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E80BC0-D221-4E58-9316-9894FA577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8f6e4-8404-49f6-a8d1-234d9c7fec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AEB68E-D55F-41B2-ABB1-52ADC0B15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Makani</dc:creator>
  <cp:keywords/>
  <dc:description/>
  <cp:lastModifiedBy>Maxx Makani</cp:lastModifiedBy>
  <cp:revision>2</cp:revision>
  <dcterms:created xsi:type="dcterms:W3CDTF">2020-11-28T17:21:00Z</dcterms:created>
  <dcterms:modified xsi:type="dcterms:W3CDTF">2020-11-28T17:21:00Z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0x010100D8DEB8409C2A2849829117C94358ABD9</vt:lpwstr>
  </property>
</Properties>
</file>