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Carga histórica al Portal de Salud</w:t>
      </w:r>
    </w:p>
    <w:p>
      <w:pPr>
        <w:pBdr>
          <w:bottom w:val="single" w:color="1F4E79" w:sz="8" w:space="6"/>
        </w:pBdr>
        <w:spacing w:after="8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Cuestionario para Servicio Médico  ·  16 preguntas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Marque las casillas que apliquen y devuelva el documento. Solo van preguntas que impiden avanzar: cada una cambia lo que se construye y ninguna se puede resolver revisando los archivos.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Predio(s): _____________</w:t>
            </w:r>
          </w:p>
        </w:tc>
        <w:tc>
          <w:tcPr>
            <w:tcW w:type="dxa" w:w="3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Responde: _____________</w:t>
            </w:r>
          </w:p>
        </w:tc>
        <w:tc>
          <w:tcPr>
            <w:tcW w:type="dxa" w:w="3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Fecha: ___________</w:t>
            </w:r>
          </w:p>
        </w:tc>
      </w:tr>
    </w:tbl>
    <w:p>
      <w:pPr>
        <w:shd w:fill="1F4E79" w:color="auto" w:val="clear"/>
        <w:spacing w:after="160" w:before="4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A. Alcance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¿Cuáles reportes deben alimentar las gráficas?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Atenciones diarias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Examen de ingreso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Examen periódico      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Examen pos-incapacidad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Incapacidades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Accidentabilidad      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Antidoping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Maternidad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Consumibles     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¿Desde qué año se carga?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2017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2020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2023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Otro: _________     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Atenciones a externos o clientes que no son empleados: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Sí cuentan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Se excluyen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Aparte, en su propia gráfica     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 personal de INCLUSIÓN: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Separado en todas las gráficas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Sumado al total      </w:t>
      </w:r>
    </w:p>
    <w:p>
      <w:pPr>
        <w:shd w:fill="1F4E79" w:color="auto" w:val="clear"/>
        <w:spacing w:after="160" w:before="4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B. Causas de atención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En diez años se usaron 45 nombres distintos de causa y solo 6 aparecen en los diez años. El resto se renombró, se fusionó o se dividió.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gráfica de causas debe comparar: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Responder “desde 2020” ahorra casi todo el trabajo de la pregunta 6.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De 2017 a 2026 de corrido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Solo de 2020 en adelante     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¿Son la misma cosa con otro nombre?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900"/>
        <w:gridCol w:w="2780"/>
      </w:tblGrid>
      <w:tr>
        <w:trPr>
          <w:tblHeader/>
        </w:trPr>
        <w:tc>
          <w:tcPr>
            <w:tcW w:type="dxa" w:w="3400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usaba antes</w:t>
            </w:r>
          </w:p>
        </w:tc>
        <w:tc>
          <w:tcPr>
            <w:tcW w:type="dxa" w:w="3000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usa ahora</w:t>
            </w:r>
          </w:p>
        </w:tc>
        <w:tc>
          <w:tcPr>
            <w:tcW w:type="dxa" w:w="900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¿Es lo mismo?</w:t>
            </w:r>
          </w:p>
        </w:tc>
        <w:tc>
          <w:tcPr>
            <w:tcW w:type="dxa" w:w="2780"/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NO: ¿a dónde se fue?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CEFALEA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NEUROLÓGICO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NO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DIABETES MELLITUS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ENDOCRINO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NO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DIABETES MELLITUS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TOMA DE GLUCOSA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NO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DISMENORREA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GINECOLÓGICO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NO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PESO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(no lo sabemos)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NO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NAZAL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RESPIRATORIO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NO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SEGUIMIENTO SALUD + PROMOCIÓN SALUD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VACUNA / MÉTODO PF / SEG SALUD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NO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Si alguna se dividió en dos, indique qué hacer con los años viejos: dejarlos juntos o repartirlos.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POLICONTUNDIDO aparece en dos listas. Para no contarlo doble, contar desde: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Causa de atención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Lesión músculo-esquelética     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NOM 035, FISIOTERAPIA y TOMA DE GLUCOSA, antes de aparecer: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No se hacían      </w:t>
      </w:r>
    </w:p>
    <w:p>
      <w:pPr>
        <w:spacing w:after="8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Se contaban dentro de: </w:t>
      </w:r>
      <w:r>
        <w:rPr>
          <w:rFonts w:ascii="Calibri" w:cs="Calibri" w:eastAsia="Calibri" w:hAnsi="Calibri"/>
          <w:color w:val="BFBFBF"/>
          <w:sz w:val="22"/>
          <w:szCs w:val="22"/>
        </w:rPr>
        <w:t xml:space="preserve">________________________________________</w:t>
      </w:r>
    </w:p>
    <w:p>
      <w:pPr>
        <w:shd w:fill="1F4E79" w:color="auto" w:val="clear"/>
        <w:spacing w:after="160" w:before="4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C. Predio y cuenta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Las gráficas se agrupan por: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Predio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Cuenta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Ambos      </w:t>
      </w:r>
    </w:p>
    <w:p>
      <w:pPr>
        <w:spacing w:after="60" w:before="80"/>
        <w:ind w:left="2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En la lista de CUENTA hay clientes (CLARINS, PUIG) y predios (MIKELS, SIGLO XXI, SMO) mezclados. ¿Cómo se distinguen?</w:t>
      </w:r>
    </w:p>
    <w:p>
      <w:pPr>
        <w:spacing w:after="80"/>
        <w:ind w:left="280"/>
      </w:pP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BFBFBF"/>
          <w:sz w:val="22"/>
          <w:szCs w:val="22"/>
        </w:rPr>
        <w:t xml:space="preserve">________________________________________________________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Gráfica por agencia: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Hasta 2021 había muchas (GIN, MAYORAL, HQC); desde 2022 solo GLI u OTRO.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Comparar los 10 años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Arrancar en 2022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No hace falta esa gráfica      </w:t>
      </w:r>
    </w:p>
    <w:p>
      <w:pPr>
        <w:shd w:fill="1F4E79" w:color="auto" w:val="clear"/>
        <w:spacing w:after="160" w:before="4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D. Incapacidades y accidentes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Incapacidades INTERNAS (las que no son del IMSS):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Cuentan en el ausentismo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Aparte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No se cargan     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Incapacidad que cruza el fin de año. Los días se cuentan: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Todos en el año en que inicia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Repartidos entre los dos años     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Costo en pesos de la incapacidad: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Entra al portal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Fuera de alcance     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¿Qué diferencia a RT1 de RT2?</w:t>
      </w:r>
    </w:p>
    <w:p>
      <w:pPr>
        <w:spacing w:after="80"/>
        <w:ind w:left="280"/>
      </w:pP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BFBFBF"/>
          <w:sz w:val="22"/>
          <w:szCs w:val="22"/>
        </w:rPr>
        <w:t xml:space="preserve">________________________________________________________</w:t>
      </w:r>
    </w:p>
    <w:p>
      <w:pPr>
        <w:spacing w:after="60" w:before="140"/>
        <w:ind w:left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¿Cuáles entran al indicador de accidentabilidad?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RT1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RT2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Enfermedad profesional      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Incidente (sin lesión)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Accidente de trayecto      </w:t>
      </w:r>
    </w:p>
    <w:p>
      <w:pPr>
        <w:shd w:fill="1F4E79" w:color="auto" w:val="clear"/>
        <w:spacing w:after="160" w:before="40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E. Exámenes y antidoping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Ingreso, periódico y pos-incapacidad son: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Tres tipos del mismo examen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Tres procesos distintos      </w:t>
      </w:r>
    </w:p>
    <w:p>
      <w:pPr>
        <w:spacing w:after="60" w:before="160"/>
        <w:ind w:left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dictamen APTO / APTO CONDICIONADO / NO APTO: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Aparece en los archivos desde 2017.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Se sigue capturando hoy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Ya no se captura      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Debe graficarse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No debe graficarse      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Antidoping positivo. El desenlace (MONITOREO / BAJA / NO CONTRATADO):</w:t>
      </w:r>
    </w:p>
    <w:p>
      <w:pPr>
        <w:spacing w:after="60"/>
        <w:ind w:left="2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Se grafica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 Solo positivo / negativo      </w:t>
      </w:r>
    </w:p>
    <w:p>
      <w:pPr>
        <w:pBdr>
          <w:top w:val="single" w:color="1F4E79" w:sz="8" w:space="10"/>
        </w:pBdr>
        <w:spacing w:after="120" w:before="4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Si solo pueden contestar tres, que sean la 1, la 5 y la 9.</w:t>
      </w:r>
    </w:p>
    <w:p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Elaborado a partir de una muestra de 30 archivos (3 por cada uno de los 10 reportes) en años y predios distintos, de 2017 a 2026. Universo revisado: 1,072 archivos, 34 predios.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2026-09-29T17:03:40.882Z</dcterms:created>
  <dcterms:modified xsi:type="dcterms:W3CDTF">2026-09-29T17:03:40.884Z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