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77777777" w:rsidR="00BD717B" w:rsidRDefault="00BD717B" w:rsidP="00CA2E76">
      <w:pPr>
        <w:pStyle w:val="ListParagraph"/>
      </w:pPr>
      <w:r w:rsidRPr="00BD717B">
        <w:t>6663.61</w:t>
      </w:r>
      <w:r>
        <w:t xml:space="preserve"> acres / 2696.67 </w:t>
      </w:r>
      <w:commentRangeStart w:id="0"/>
      <w:r>
        <w:t>hectares</w:t>
      </w:r>
      <w:commentRangeEnd w:id="0"/>
      <w:r>
        <w:rPr>
          <w:rStyle w:val="CommentReference"/>
        </w:rPr>
        <w:commentReference w:id="0"/>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166815A6"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r w:rsidR="00D3748F">
        <w:rPr>
          <w:rFonts w:cs="Times"/>
          <w:i/>
          <w:lang w:eastAsia="ja-JP"/>
        </w:rPr>
        <w:t>Lithocarpus densiflorus</w:t>
      </w:r>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r w:rsidR="00D3748F">
        <w:rPr>
          <w:rFonts w:cs="Times"/>
          <w:i/>
          <w:lang w:eastAsia="ja-JP"/>
        </w:rPr>
        <w:t xml:space="preserve">Psuedotsuga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 well developed, often with 100 percent cover. Cover of the herbaceous layer under the shrubs can be up to 10 percent. At higher elevations, the shrubs disappear and the herb layer is often 100 percent.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r w:rsidRPr="00CA2E76">
        <w:rPr>
          <w:i/>
        </w:rPr>
        <w:t>Quercus chrysolepis</w:t>
      </w:r>
      <w:r w:rsidRPr="00CA2E76">
        <w:t xml:space="preserve">, </w:t>
      </w:r>
      <w:r w:rsidRPr="00CA2E76">
        <w:rPr>
          <w:i/>
        </w:rPr>
        <w:t>Quercus kelloggii</w:t>
      </w:r>
      <w:r w:rsidRPr="00CA2E76">
        <w:t xml:space="preserve">, and </w:t>
      </w:r>
      <w:r w:rsidRPr="00CA2E76">
        <w:rPr>
          <w:i/>
        </w:rPr>
        <w:t>Umbellularia californica</w:t>
      </w:r>
      <w:r w:rsidRPr="00CA2E76">
        <w:t xml:space="preserve">. Potential </w:t>
      </w:r>
      <w:r>
        <w:t xml:space="preserve">additional </w:t>
      </w:r>
      <w:r w:rsidRPr="00CA2E76">
        <w:t xml:space="preserve">conifer associates include </w:t>
      </w:r>
      <w:r w:rsidRPr="00CA2E76">
        <w:rPr>
          <w:i/>
        </w:rPr>
        <w:t>Abies concolor</w:t>
      </w:r>
      <w:r w:rsidRPr="00CA2E76">
        <w:t xml:space="preserve">, </w:t>
      </w:r>
      <w:r w:rsidRPr="00CA2E76">
        <w:rPr>
          <w:i/>
        </w:rPr>
        <w:t>Pinus lambertiana</w:t>
      </w:r>
      <w:r w:rsidRPr="00CA2E76">
        <w:t xml:space="preserve">, and </w:t>
      </w:r>
      <w:r w:rsidRPr="00CA2E76">
        <w:rPr>
          <w:i/>
        </w:rPr>
        <w:t>Pinus ponderosa</w:t>
      </w:r>
      <w:r w:rsidR="00CE6555">
        <w:t xml:space="preserve"> </w:t>
      </w:r>
      <w:r w:rsidRPr="00CA2E76">
        <w:t>(</w:t>
      </w:r>
      <w:r w:rsidR="00CE6555">
        <w:t>Tappeiner 1990</w:t>
      </w:r>
      <w:r w:rsidRPr="00CA2E76">
        <w:t>)</w:t>
      </w:r>
      <w:r w:rsidR="00CE6555">
        <w:t>.</w:t>
      </w:r>
    </w:p>
    <w:p w14:paraId="3CDC16D0" w14:textId="13D55C19" w:rsidR="00CA2E76" w:rsidRDefault="00CA2E76" w:rsidP="00BF3A20">
      <w:pPr>
        <w:ind w:firstLine="360"/>
      </w:pPr>
      <w:r w:rsidRPr="00CA2E76">
        <w:t xml:space="preserve">A large variety of shrubs, forbs, grasses, sedges, and ferns are also associated with </w:t>
      </w:r>
      <w:r w:rsidR="00CE6555">
        <w:t xml:space="preserve">the </w:t>
      </w:r>
      <w:r w:rsidRPr="00CA2E76">
        <w:t>Douglas Fir-Tanoak</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L. densiflorus</w:t>
      </w:r>
      <w:r w:rsidR="00CE6555">
        <w:t xml:space="preserve"> sprouts, often be</w:t>
      </w:r>
      <w:r w:rsidRPr="00CA2E76">
        <w:t xml:space="preserve">come aggressive on burned or cutover areas. Among the most common shrubs are </w:t>
      </w:r>
      <w:r w:rsidR="00CE6555" w:rsidRPr="00CE6555">
        <w:rPr>
          <w:i/>
        </w:rPr>
        <w:t>Ceanothus</w:t>
      </w:r>
      <w:r w:rsidRPr="00CA2E76">
        <w:t xml:space="preserve">, </w:t>
      </w:r>
      <w:r w:rsidRPr="00CE6555">
        <w:rPr>
          <w:i/>
        </w:rPr>
        <w:t>Corylu</w:t>
      </w:r>
      <w:r w:rsidR="00CE6555" w:rsidRPr="00CE6555">
        <w:rPr>
          <w:i/>
        </w:rPr>
        <w:t>s</w:t>
      </w:r>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r w:rsidR="00CE6555" w:rsidRPr="00CE6555">
        <w:rPr>
          <w:i/>
        </w:rPr>
        <w:t>Ribes</w:t>
      </w:r>
      <w:r w:rsidRPr="00CA2E76">
        <w:t xml:space="preserve">, </w:t>
      </w:r>
      <w:r w:rsidR="00CE6555" w:rsidRPr="00CE6555">
        <w:rPr>
          <w:i/>
        </w:rPr>
        <w:t>Rubus</w:t>
      </w:r>
      <w:r w:rsidRPr="00CA2E76">
        <w:t xml:space="preserve">, </w:t>
      </w:r>
      <w:r w:rsidRPr="00CE6555">
        <w:rPr>
          <w:i/>
        </w:rPr>
        <w:t>Toxicodendron di</w:t>
      </w:r>
      <w:r w:rsidR="00CE6555" w:rsidRPr="00CE6555">
        <w:rPr>
          <w:i/>
        </w:rPr>
        <w:t>versilobum</w:t>
      </w:r>
      <w:r w:rsidRPr="00CA2E76">
        <w:t xml:space="preserve">, and </w:t>
      </w:r>
      <w:r w:rsidR="00CE6555" w:rsidRPr="00CE6555">
        <w:rPr>
          <w:i/>
        </w:rPr>
        <w:t>Vaccinium</w:t>
      </w:r>
      <w:r w:rsidR="00CE6555">
        <w:t>.</w:t>
      </w:r>
      <w:r w:rsidR="00BF3A20">
        <w:t xml:space="preserve"> Common</w:t>
      </w:r>
      <w:r w:rsidR="00F47F56">
        <w:t xml:space="preserve"> forbs </w:t>
      </w:r>
      <w:r w:rsidR="00BF3A20">
        <w:t>include</w:t>
      </w:r>
      <w:r w:rsidR="00F47F56">
        <w:t xml:space="preserve"> </w:t>
      </w:r>
      <w:r w:rsidR="00BF3A20" w:rsidRPr="00F47F56">
        <w:rPr>
          <w:i/>
        </w:rPr>
        <w:t>Chimaphila</w:t>
      </w:r>
      <w:r w:rsidR="00BF3A20">
        <w:t xml:space="preserve">, </w:t>
      </w:r>
      <w:r w:rsidR="00BF3A20" w:rsidRPr="00F47F56">
        <w:rPr>
          <w:i/>
        </w:rPr>
        <w:t>Mahonia</w:t>
      </w:r>
      <w:r w:rsidR="00BF3A20">
        <w:rPr>
          <w:i/>
        </w:rPr>
        <w:t>,</w:t>
      </w:r>
      <w:r w:rsidR="00BF3A20">
        <w:t xml:space="preserve"> </w:t>
      </w:r>
      <w:r w:rsidR="00F47F56" w:rsidRPr="00F47F56">
        <w:rPr>
          <w:i/>
        </w:rPr>
        <w:t>Cirsium vulgare</w:t>
      </w:r>
      <w:r w:rsidR="00F47F56">
        <w:t>,</w:t>
      </w:r>
      <w:r w:rsidRPr="00CA2E76">
        <w:t xml:space="preserve"> </w:t>
      </w:r>
      <w:r w:rsidR="00F47F56" w:rsidRPr="00F47F56">
        <w:rPr>
          <w:i/>
        </w:rPr>
        <w:t>Erechtites</w:t>
      </w:r>
      <w:r w:rsidRPr="00CA2E76">
        <w:t xml:space="preserve">, and </w:t>
      </w:r>
      <w:r w:rsidR="00F47F56" w:rsidRPr="00F47F56">
        <w:rPr>
          <w:i/>
        </w:rPr>
        <w:t>Whipplea</w:t>
      </w:r>
      <w:r w:rsidRPr="00CA2E76">
        <w:t xml:space="preserve">. </w:t>
      </w:r>
      <w:r w:rsidR="00BF3A20">
        <w:t>G</w:t>
      </w:r>
      <w:r w:rsidRPr="00CA2E76">
        <w:t xml:space="preserve">rass species include </w:t>
      </w:r>
      <w:r w:rsidR="00F47F56" w:rsidRPr="00F47F56">
        <w:rPr>
          <w:i/>
        </w:rPr>
        <w:t>Bromus</w:t>
      </w:r>
      <w:r w:rsidRPr="00CA2E76">
        <w:t xml:space="preserve">, </w:t>
      </w:r>
      <w:r w:rsidR="00F47F56" w:rsidRPr="00F47F56">
        <w:rPr>
          <w:i/>
        </w:rPr>
        <w:t>Festuca</w:t>
      </w:r>
      <w:r w:rsidRPr="00CA2E76">
        <w:t xml:space="preserve">, and </w:t>
      </w:r>
      <w:r w:rsidR="00F47F56" w:rsidRPr="00F47F56">
        <w:rPr>
          <w:i/>
        </w:rPr>
        <w:t>Hierochloe</w:t>
      </w:r>
      <w:r w:rsidRPr="00CA2E76">
        <w:t xml:space="preserve">. </w:t>
      </w:r>
      <w:r w:rsidR="00F47F56" w:rsidRPr="00F47F56">
        <w:rPr>
          <w:i/>
        </w:rPr>
        <w:t>Polystichum munitum</w:t>
      </w:r>
      <w:r w:rsidRPr="00CA2E76">
        <w:t xml:space="preserve"> and </w:t>
      </w:r>
      <w:r w:rsidRPr="00F47F56">
        <w:rPr>
          <w:i/>
        </w:rPr>
        <w:t>Pteridium aquilinum</w:t>
      </w:r>
      <w:r w:rsidRPr="00CA2E76">
        <w:t xml:space="preserve"> var. </w:t>
      </w:r>
      <w:r w:rsidRPr="00F47F56">
        <w:rPr>
          <w:i/>
        </w:rPr>
        <w:t>pubescens</w:t>
      </w:r>
      <w:r w:rsidRPr="00CA2E76">
        <w:t xml:space="preserve">) sometimes grow abundantly. </w:t>
      </w:r>
      <w:r w:rsidR="00F47F56" w:rsidRPr="00B92F3E">
        <w:rPr>
          <w:i/>
        </w:rPr>
        <w:t>Carex</w:t>
      </w:r>
      <w:r w:rsidR="00F47F56">
        <w:t xml:space="preserve"> spp.</w:t>
      </w:r>
      <w:r w:rsidRPr="00CA2E76">
        <w:t xml:space="preserve"> also</w:t>
      </w:r>
      <w:r w:rsidR="00B92F3E">
        <w:t xml:space="preserve"> are represented in some places</w:t>
      </w:r>
      <w:r w:rsidRPr="00CA2E76">
        <w:t xml:space="preserve"> (</w:t>
      </w:r>
      <w:r w:rsidR="00B92F3E">
        <w:t>Tappeiner 1990</w:t>
      </w:r>
      <w:r w:rsidRPr="00CA2E76">
        <w:t>)</w:t>
      </w:r>
      <w:r w:rsidR="00B92F3E">
        <w:t>.</w:t>
      </w:r>
    </w:p>
    <w:p w14:paraId="38D68573" w14:textId="77777777" w:rsidR="002A0405" w:rsidRPr="00CA2E76" w:rsidRDefault="002A0405" w:rsidP="00BF3A20">
      <w:pPr>
        <w:ind w:firstLine="360"/>
      </w:pPr>
    </w:p>
    <w:p w14:paraId="4D7DA585" w14:textId="534ABA11" w:rsidR="00BF3A20" w:rsidRDefault="00BF3A20" w:rsidP="000D47C0">
      <w:pPr>
        <w:pStyle w:val="ListParagraph"/>
      </w:pPr>
      <w:r w:rsidRPr="00370876">
        <w:rPr>
          <w:b/>
        </w:rPr>
        <w:lastRenderedPageBreak/>
        <w:t xml:space="preserve">Ultramafic </w:t>
      </w:r>
      <w:commentRangeStart w:id="1"/>
      <w:r w:rsidRPr="00370876">
        <w:rPr>
          <w:b/>
        </w:rPr>
        <w:t>Modifier</w:t>
      </w:r>
      <w:commentRangeEnd w:id="1"/>
      <w:r w:rsidRPr="00664ACB">
        <w:rPr>
          <w:rStyle w:val="CommentReference"/>
        </w:rPr>
        <w:commentReference w:id="1"/>
      </w:r>
      <w:r w:rsidRPr="00370876">
        <w:rPr>
          <w:b/>
        </w:rPr>
        <w:tab/>
      </w:r>
      <w:r w:rsidR="00EF2EF6">
        <w:t xml:space="preserve">On ultramafic sites, </w:t>
      </w:r>
      <w:r w:rsidR="00EF2EF6">
        <w:rPr>
          <w:i/>
        </w:rPr>
        <w:t>P. menziesii</w:t>
      </w:r>
      <w:r w:rsidR="00EF2EF6">
        <w:t xml:space="preserve"> attains less dominance and is replaced by open stands of various conifers, particularly </w:t>
      </w:r>
      <w:r w:rsidR="00EF2EF6">
        <w:rPr>
          <w:i/>
        </w:rPr>
        <w:t>P. jeffreyi</w:t>
      </w:r>
      <w:r w:rsidR="00EF2EF6">
        <w:t xml:space="preserve">. The shrub layer is likely to include </w:t>
      </w:r>
      <w:r w:rsidR="000D47C0">
        <w:rPr>
          <w:i/>
        </w:rPr>
        <w:t>Quercus vaccinifolia</w:t>
      </w:r>
      <w:r w:rsidR="000D47C0">
        <w:t xml:space="preserve">, shrub </w:t>
      </w:r>
      <w:r w:rsidR="000D47C0">
        <w:rPr>
          <w:i/>
        </w:rPr>
        <w:t>L. densiflorus</w:t>
      </w:r>
      <w:r w:rsidR="000D47C0">
        <w:t xml:space="preserve">, </w:t>
      </w:r>
      <w:r w:rsidR="000D47C0">
        <w:rPr>
          <w:i/>
        </w:rPr>
        <w:t>U. californica</w:t>
      </w:r>
      <w:r w:rsidR="000D47C0">
        <w:t xml:space="preserve">, </w:t>
      </w:r>
      <w:r w:rsidR="000D47C0">
        <w:rPr>
          <w:i/>
        </w:rPr>
        <w:t>Quercus breweri</w:t>
      </w:r>
      <w:r w:rsidR="000D47C0">
        <w:t xml:space="preserve">, and </w:t>
      </w:r>
      <w:r w:rsidR="000D47C0">
        <w:rPr>
          <w:i/>
        </w:rPr>
        <w:t>Rhamnus</w:t>
      </w:r>
      <w:r w:rsidR="000D47C0">
        <w:t xml:space="preserve">. Common grasses </w:t>
      </w:r>
      <w:r>
        <w:t xml:space="preserve">include </w:t>
      </w:r>
      <w:r>
        <w:rPr>
          <w:i/>
        </w:rPr>
        <w:t xml:space="preserve">Stipa, Festuca, </w:t>
      </w:r>
      <w:r>
        <w:t xml:space="preserve">and </w:t>
      </w:r>
      <w:r>
        <w:rPr>
          <w:i/>
        </w:rPr>
        <w:t>Danthonia</w:t>
      </w:r>
      <w:r>
        <w:t xml:space="preserve"> (LandFire 2007b, McDonald 1988</w:t>
      </w:r>
      <w:r w:rsidR="000D47C0">
        <w:t>, Raphael 1988</w:t>
      </w:r>
      <w:r>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1D092B3F"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slopes. It is found between elevations of 580 and 1220 </w:t>
      </w:r>
      <w:r>
        <w:t>m (1,900 and 4,000 ft)</w:t>
      </w:r>
      <w:r w:rsidRPr="00BF3A20">
        <w:t xml:space="preserve"> (</w:t>
      </w:r>
      <w:r>
        <w:t>Tappeiner 1990</w:t>
      </w:r>
      <w:r w:rsidRPr="00BF3A20">
        <w:t>)</w:t>
      </w:r>
      <w:r>
        <w:t>.</w:t>
      </w:r>
      <w:r w:rsidR="00EF2EF6">
        <w:t xml:space="preserve"> </w:t>
      </w:r>
    </w:p>
    <w:p w14:paraId="72FD48A5" w14:textId="77777777" w:rsidR="00BF3A20" w:rsidRPr="00370876" w:rsidRDefault="00BF3A20" w:rsidP="00BF3A20">
      <w:pPr>
        <w:ind w:firstLine="360"/>
      </w:pPr>
    </w:p>
    <w:p w14:paraId="79D8C764" w14:textId="77777777" w:rsidR="00BF3A20" w:rsidRDefault="00BF3A20" w:rsidP="00BF3A20">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7777777" w:rsidR="00BF3A20" w:rsidRDefault="00BF3A20" w:rsidP="00BF3A20">
      <w:r w:rsidRPr="00BF3A20">
        <w:t>With its flammable leaves and successional position in the understory or subcanopy, tanoak is adapted to catch fire easily</w:t>
      </w:r>
      <w:r>
        <w:t xml:space="preserve">. </w:t>
      </w:r>
      <w:r w:rsidRPr="00BF3A20">
        <w:t xml:space="preserve">In the lower montane zone of the Sierra Nevada where tanoak 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r>
        <w:t>Tappeiner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r>
        <w:t>LandFire 2007a</w:t>
      </w:r>
      <w:r w:rsidRPr="00BF3A20">
        <w:t>). </w:t>
      </w:r>
    </w:p>
    <w:p w14:paraId="4A0DA50F" w14:textId="153D1943" w:rsidR="00BF3A20" w:rsidRDefault="00BF3A20" w:rsidP="00BF3A20">
      <w:pPr>
        <w:ind w:firstLine="360"/>
      </w:pPr>
      <w:r w:rsidRPr="00BF3A20">
        <w:t>Tanoak seedlings and saplings are typically top-killed by even low-severity surface fire. Large trees usually survive moderate-severity fire, bearing fire scars afterward. Even tanoaks with thick bark (</w:t>
      </w:r>
      <w:r>
        <w:t>3-10 cm</w:t>
      </w:r>
      <w:r w:rsidRPr="00BF3A20">
        <w:t>) typically sustain bole damage from fire. Relative to associated conifers, mature Douglas fir is fairly</w:t>
      </w:r>
      <w:r>
        <w:t xml:space="preserve"> </w:t>
      </w:r>
      <w:r w:rsidRPr="00BF3A20">
        <w:t xml:space="preserve">resistant to surface fires. Crown </w:t>
      </w:r>
      <w:r>
        <w:t>fires cause extensive mortality</w:t>
      </w:r>
      <w:r w:rsidRPr="00BF3A20">
        <w:t xml:space="preserve"> (</w:t>
      </w:r>
      <w:r>
        <w:t>Tappeiner 1990).</w:t>
      </w:r>
    </w:p>
    <w:p w14:paraId="53C4CED0" w14:textId="5332C02F"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r w:rsidRPr="00BF3A20">
        <w:t>Land</w:t>
      </w:r>
      <w:r>
        <w:t>F</w:t>
      </w:r>
      <w:r w:rsidR="00BD0F70">
        <w:t>ire model</w:t>
      </w:r>
      <w:r w:rsidRPr="00BF3A20">
        <w:t xml:space="preserve"> for this type </w:t>
      </w:r>
      <w:r w:rsidR="00BD0F70">
        <w:t xml:space="preserve">(2007a) </w:t>
      </w:r>
      <w:r w:rsidRPr="00BF3A20">
        <w:t>predict an average FRI of 8</w:t>
      </w:r>
      <w:r>
        <w:t xml:space="preserve"> years</w:t>
      </w:r>
      <w:r w:rsidRPr="00BF3A20">
        <w:t>.</w:t>
      </w:r>
      <w:r>
        <w:t xml:space="preserve"> Replacement FRI averages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FRI averages 10 years with a</w:t>
      </w:r>
      <w:r w:rsidRPr="00BF3A20">
        <w:t xml:space="preserve"> range</w:t>
      </w:r>
      <w:r>
        <w:t xml:space="preserve"> of</w:t>
      </w:r>
      <w:r w:rsidRPr="00BF3A20">
        <w:t xml:space="preserve"> 7 to 15 with an average of 10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1563C525" w14:textId="3F972AEC" w:rsidR="00A12048" w:rsidRPr="006C7883" w:rsidRDefault="00A12048" w:rsidP="00A12048">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2"/>
      <w:r>
        <w:t>sites</w:t>
      </w:r>
      <w:commentRangeEnd w:id="2"/>
      <w:r>
        <w:rPr>
          <w:rStyle w:val="CommentReference"/>
        </w:rPr>
        <w:commentReference w:id="2"/>
      </w:r>
      <w:r>
        <w:t xml:space="preserve">. The </w:t>
      </w:r>
      <w:bookmarkStart w:id="3" w:name="_GoBack"/>
      <w:r w:rsidR="00465C88">
        <w:t>LandFire</w:t>
      </w:r>
      <w:bookmarkEnd w:id="3"/>
      <w:r>
        <w:t xml:space="preserve"> model for </w:t>
      </w:r>
      <w:r w:rsidRPr="007D4AD1">
        <w:rPr>
          <w:bCs/>
        </w:rPr>
        <w:t xml:space="preserve">Klamath-Siskiyou </w:t>
      </w:r>
      <w:r>
        <w:rPr>
          <w:bCs/>
        </w:rPr>
        <w:t>Xeromorphic Serpentine Savanna and Chaparral (2007b) predicted</w:t>
      </w:r>
      <w:r w:rsidRPr="006C7883">
        <w:rPr>
          <w:szCs w:val="24"/>
        </w:rPr>
        <w:t xml:space="preserve"> </w:t>
      </w:r>
      <w:r w:rsidRPr="007860BE">
        <w:rPr>
          <w:szCs w:val="24"/>
        </w:rPr>
        <w:t xml:space="preserve">a replacement FRI averaging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surface FRI averaging </w:t>
      </w:r>
      <w:r>
        <w:rPr>
          <w:szCs w:val="24"/>
        </w:rPr>
        <w:t>15</w:t>
      </w:r>
      <w:r w:rsidRPr="007860BE">
        <w:rPr>
          <w:szCs w:val="24"/>
        </w:rPr>
        <w:t xml:space="preserve"> years with a range of </w:t>
      </w:r>
      <w:r>
        <w:rPr>
          <w:szCs w:val="24"/>
        </w:rPr>
        <w:t>10-20</w:t>
      </w:r>
      <w:r w:rsidRPr="007860BE">
        <w:rPr>
          <w:szCs w:val="24"/>
        </w:rPr>
        <w:t xml:space="preserve"> years, and an all-fire FRI averaging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87 years for high mortality fire, 17 years for low mortality fire, and 14 years for any fire.</w:t>
      </w:r>
    </w:p>
    <w:p w14:paraId="6ABC2691" w14:textId="77777777" w:rsidR="008C5A19" w:rsidRDefault="008C5A19" w:rsidP="00CA2E76"/>
    <w:p w14:paraId="0A088815" w14:textId="62E1861B"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w:t>
      </w:r>
      <w:r w:rsidR="00465C88">
        <w:rPr>
          <w:sz w:val="22"/>
          <w:szCs w:val="24"/>
        </w:rPr>
        <w:t>LandFire</w:t>
      </w:r>
      <w:r w:rsidRPr="000C3D2B">
        <w:rPr>
          <w:sz w:val="22"/>
          <w:szCs w:val="24"/>
        </w:rPr>
        <w:t xml:space="preserv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w:t>
      </w:r>
      <w:r w:rsidR="00465C88">
        <w:rPr>
          <w:sz w:val="22"/>
          <w:szCs w:val="24"/>
        </w:rPr>
        <w:t>LandFire</w:t>
      </w:r>
      <w:r w:rsidRPr="000C3D2B">
        <w:rPr>
          <w:sz w:val="22"/>
          <w:szCs w:val="24"/>
        </w:rPr>
        <w:t xml:space="preserv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77777777" w:rsidR="009E4D70" w:rsidRPr="00EC5F24" w:rsidRDefault="009E4D70" w:rsidP="009E4D7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77777777" w:rsidR="009E4D70" w:rsidRPr="00EC5F24" w:rsidRDefault="009E4D70" w:rsidP="009E4D7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7159FC8C"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3A436F5F"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77777777" w:rsidR="00C2205B" w:rsidRPr="007D4AD1" w:rsidRDefault="00C2205B" w:rsidP="009E4D70">
            <w:pPr>
              <w:jc w:val="center"/>
              <w:rPr>
                <w:color w:val="000000"/>
              </w:rPr>
            </w:pP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35B41CE5" w:rsidR="00C2205B" w:rsidRPr="007D4AD1" w:rsidRDefault="00C2205B" w:rsidP="009E4D70">
            <w:pPr>
              <w:jc w:val="center"/>
              <w:rPr>
                <w:color w:val="000000"/>
              </w:rPr>
            </w:pPr>
            <w:r>
              <w:rPr>
                <w:color w:val="000000"/>
              </w:rPr>
              <w:t>87</w:t>
            </w:r>
          </w:p>
        </w:tc>
        <w:tc>
          <w:tcPr>
            <w:tcW w:w="1300" w:type="dxa"/>
            <w:tcBorders>
              <w:top w:val="single" w:sz="4" w:space="0" w:color="auto"/>
              <w:left w:val="nil"/>
              <w:bottom w:val="nil"/>
              <w:right w:val="nil"/>
            </w:tcBorders>
            <w:shd w:val="clear" w:color="auto" w:fill="auto"/>
            <w:noWrap/>
            <w:vAlign w:val="center"/>
            <w:hideMark/>
          </w:tcPr>
          <w:p w14:paraId="11E52247"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E60B52B"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0363772D" w:rsidR="00C2205B" w:rsidRPr="007D4AD1" w:rsidRDefault="00C2205B" w:rsidP="009E4D70">
            <w:pPr>
              <w:jc w:val="center"/>
              <w:rPr>
                <w:color w:val="000000"/>
              </w:rPr>
            </w:pPr>
            <w:r>
              <w:rPr>
                <w:color w:val="000000"/>
              </w:rPr>
              <w:t>17</w:t>
            </w:r>
          </w:p>
        </w:tc>
        <w:tc>
          <w:tcPr>
            <w:tcW w:w="1300" w:type="dxa"/>
            <w:tcBorders>
              <w:top w:val="nil"/>
              <w:left w:val="nil"/>
              <w:right w:val="nil"/>
            </w:tcBorders>
            <w:shd w:val="clear" w:color="auto" w:fill="auto"/>
            <w:noWrap/>
            <w:vAlign w:val="center"/>
            <w:hideMark/>
          </w:tcPr>
          <w:p w14:paraId="23E5DA4F"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43F4D31A"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34FE8BF0" w:rsidR="009E4D70" w:rsidRPr="007D4AD1" w:rsidRDefault="009E4D70" w:rsidP="009E4D70">
            <w:pPr>
              <w:jc w:val="center"/>
              <w:rPr>
                <w:color w:val="000000"/>
              </w:rPr>
            </w:pPr>
            <w:r>
              <w:rPr>
                <w:color w:val="000000"/>
              </w:rPr>
              <w:t>14</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77777777" w:rsidR="009E4D70" w:rsidRPr="007D4AD1" w:rsidRDefault="009E4D70" w:rsidP="009E4D70">
            <w:pPr>
              <w:jc w:val="center"/>
              <w:rPr>
                <w:color w:val="000000"/>
              </w:rPr>
            </w:pP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4"/>
      <w:commentRangeStart w:id="5"/>
      <w:r w:rsidRPr="00E8175A">
        <w:rPr>
          <w:bCs w:val="0"/>
          <w:sz w:val="36"/>
        </w:rPr>
        <w:t>Classes</w:t>
      </w:r>
      <w:commentRangeEnd w:id="4"/>
      <w:r w:rsidRPr="00E8175A">
        <w:rPr>
          <w:rStyle w:val="CommentReference"/>
        </w:rPr>
        <w:commentReference w:id="4"/>
      </w:r>
      <w:commentRangeEnd w:id="5"/>
      <w:r w:rsidR="004179B9">
        <w:rPr>
          <w:rStyle w:val="CommentReference"/>
          <w:b w:val="0"/>
          <w:bCs w:val="0"/>
        </w:rPr>
        <w:commentReference w:id="5"/>
      </w: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8DDC0E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E50881" w:rsidRPr="00E50881">
        <w:rPr>
          <w:rFonts w:cs="Times"/>
          <w:i/>
          <w:lang w:eastAsia="ja-JP"/>
        </w:rPr>
        <w:t>L</w:t>
      </w:r>
      <w:r w:rsidR="00E50881">
        <w:rPr>
          <w:rFonts w:cs="Times"/>
          <w:i/>
          <w:lang w:eastAsia="ja-JP"/>
        </w:rPr>
        <w:t>.</w:t>
      </w:r>
      <w:r w:rsidR="00E50881" w:rsidRPr="00E50881">
        <w:rPr>
          <w:rFonts w:cs="Times"/>
          <w:i/>
          <w:lang w:eastAsia="ja-JP"/>
        </w:rPr>
        <w:t xml:space="preserve"> densiflorus</w:t>
      </w:r>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4930B0F5"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stand-destroying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r w:rsidR="00D244A2" w:rsidRPr="008E7054">
        <w:t>Uchytil</w:t>
      </w:r>
      <w:r w:rsidR="00D244A2">
        <w:t xml:space="preserve"> 1991</w:t>
      </w:r>
      <w:r w:rsidRPr="00E50881">
        <w:rPr>
          <w:rFonts w:cs="Times"/>
          <w:lang w:eastAsia="ja-JP"/>
        </w:rPr>
        <w:t>)</w:t>
      </w:r>
      <w:r w:rsidR="00D244A2">
        <w:rPr>
          <w:rFonts w:cs="Times"/>
          <w:lang w:eastAsia="ja-JP"/>
        </w:rPr>
        <w:t>.</w:t>
      </w:r>
    </w:p>
    <w:p w14:paraId="3399F430" w14:textId="4F82E43F" w:rsidR="00E50881" w:rsidRPr="004179B9" w:rsidRDefault="00E50881" w:rsidP="00D244A2">
      <w:pPr>
        <w:ind w:firstLine="360"/>
        <w:rPr>
          <w:rFonts w:cs="Times"/>
          <w:lang w:eastAsia="ja-JP"/>
        </w:rPr>
      </w:pPr>
      <w:r w:rsidRPr="00E50881">
        <w:rPr>
          <w:rFonts w:cs="Times"/>
          <w:lang w:eastAsia="ja-JP"/>
        </w:rPr>
        <w:t xml:space="preserve">Nearly all tan oak burls sprout after fire, and survivorship is high. </w:t>
      </w:r>
      <w:r w:rsidR="00D244A2">
        <w:rPr>
          <w:rFonts w:cs="Times"/>
          <w:i/>
          <w:lang w:eastAsia="ja-JP"/>
        </w:rPr>
        <w:t>Q. chrysolepis</w:t>
      </w:r>
      <w:r w:rsidRPr="00E50881">
        <w:rPr>
          <w:rFonts w:cs="Times"/>
          <w:lang w:eastAsia="ja-JP"/>
        </w:rPr>
        <w:t xml:space="preserve">, if present, also sprouts readily, and shrubs such as </w:t>
      </w:r>
      <w:r w:rsidR="00D244A2">
        <w:rPr>
          <w:rFonts w:cs="Times"/>
          <w:i/>
          <w:lang w:eastAsia="ja-JP"/>
        </w:rPr>
        <w:t>Mahonia</w:t>
      </w:r>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r w:rsidRPr="00E50881">
        <w:rPr>
          <w:rFonts w:cs="Times"/>
          <w:i/>
          <w:lang w:eastAsia="ja-JP"/>
        </w:rPr>
        <w:t>Ceanothus integerrimus</w:t>
      </w:r>
      <w:r w:rsidR="00D244A2">
        <w:rPr>
          <w:rFonts w:cs="Times"/>
          <w:lang w:eastAsia="ja-JP"/>
        </w:rPr>
        <w:t>, can also be high</w:t>
      </w:r>
      <w:r w:rsidRPr="00E50881">
        <w:rPr>
          <w:rFonts w:cs="Times"/>
          <w:lang w:eastAsia="ja-JP"/>
        </w:rPr>
        <w:t xml:space="preserve"> (</w:t>
      </w:r>
      <w:r w:rsidR="00D244A2">
        <w:rPr>
          <w:rFonts w:cs="Times"/>
          <w:lang w:eastAsia="ja-JP"/>
        </w:rPr>
        <w:t>LandFire 2007a</w:t>
      </w:r>
      <w:r w:rsidRPr="00E50881">
        <w:rPr>
          <w:rFonts w:cs="Times"/>
          <w:lang w:eastAsia="ja-JP"/>
        </w:rPr>
        <w:t>)</w:t>
      </w:r>
      <w:r w:rsidR="00D244A2">
        <w:rPr>
          <w:rFonts w:cs="Times"/>
          <w:lang w:eastAsia="ja-JP"/>
        </w:rPr>
        <w:t>.</w:t>
      </w:r>
      <w:r w:rsidR="004179B9">
        <w:rPr>
          <w:rFonts w:cs="Times"/>
          <w:lang w:eastAsia="ja-JP"/>
        </w:rPr>
        <w:t xml:space="preserve"> Thus, </w:t>
      </w:r>
      <w:r w:rsidR="004179B9">
        <w:rPr>
          <w:rFonts w:cs="Times"/>
          <w:i/>
          <w:lang w:eastAsia="ja-JP"/>
        </w:rPr>
        <w:t>L. densiflorus</w:t>
      </w:r>
      <w:r w:rsidR="004179B9">
        <w:rPr>
          <w:rFonts w:cs="Times"/>
          <w:lang w:eastAsia="ja-JP"/>
        </w:rPr>
        <w:t xml:space="preserve"> and other shrubs usually dominante the initial condition (Raphael 1988).</w:t>
      </w:r>
    </w:p>
    <w:p w14:paraId="133368C7" w14:textId="77777777" w:rsidR="002B0F44" w:rsidRPr="00124DFE" w:rsidRDefault="002B0F44" w:rsidP="002B0F44">
      <w:pPr>
        <w:widowControl w:val="0"/>
        <w:ind w:firstLine="360"/>
        <w:rPr>
          <w:rFonts w:cs="Times"/>
          <w:lang w:eastAsia="ja-JP"/>
        </w:rPr>
      </w:pPr>
      <w:r>
        <w:rPr>
          <w:rFonts w:cs="Times"/>
          <w:lang w:eastAsia="ja-JP"/>
        </w:rPr>
        <w:t xml:space="preserve">On ultramafic sites, grasses like </w:t>
      </w:r>
      <w:r>
        <w:rPr>
          <w:rFonts w:cs="Times"/>
          <w:i/>
          <w:lang w:eastAsia="ja-JP"/>
        </w:rPr>
        <w:t>Festuca, Danthonia</w:t>
      </w:r>
      <w:r>
        <w:rPr>
          <w:rFonts w:cs="Times"/>
          <w:lang w:eastAsia="ja-JP"/>
        </w:rPr>
        <w:t xml:space="preserve">, and </w:t>
      </w:r>
      <w:r>
        <w:rPr>
          <w:rFonts w:cs="Times"/>
          <w:i/>
          <w:lang w:eastAsia="ja-JP"/>
        </w:rPr>
        <w:t>Acnatherum,</w:t>
      </w:r>
      <w:r>
        <w:rPr>
          <w:rFonts w:cs="Times"/>
          <w:lang w:eastAsia="ja-JP"/>
        </w:rPr>
        <w:t xml:space="preserve"> or else chaparral shrubs establish alongside scattered </w:t>
      </w:r>
      <w:r>
        <w:rPr>
          <w:rFonts w:cs="Times"/>
          <w:i/>
          <w:lang w:eastAsia="ja-JP"/>
        </w:rPr>
        <w:t>P. jeffrei</w:t>
      </w:r>
      <w:r>
        <w:rPr>
          <w:rFonts w:cs="Times"/>
          <w:lang w:eastAsia="ja-JP"/>
        </w:rPr>
        <w:t xml:space="preserve"> </w:t>
      </w:r>
      <w:r w:rsidRPr="00E8175A">
        <w:rPr>
          <w:rFonts w:cs="Times"/>
          <w:lang w:eastAsia="ja-JP"/>
        </w:rPr>
        <w:t>(LandFire 2007b)</w:t>
      </w:r>
      <w:r>
        <w:rPr>
          <w:rFonts w:cs="Times"/>
          <w:lang w:eastAsia="ja-JP"/>
        </w:rPr>
        <w:t>.</w:t>
      </w:r>
    </w:p>
    <w:p w14:paraId="6B9534A5" w14:textId="3F21FA4B" w:rsidR="009C6304" w:rsidRDefault="009C6304" w:rsidP="009C6304">
      <w:pPr>
        <w:rPr>
          <w:b/>
          <w:sz w:val="32"/>
        </w:rPr>
      </w:pPr>
    </w:p>
    <w:p w14:paraId="404A6E3B" w14:textId="75FF5539" w:rsidR="002B0F44" w:rsidRDefault="003D248B" w:rsidP="002B0F44">
      <w:r>
        <w:rPr>
          <w:noProof/>
        </w:rPr>
        <w:drawing>
          <wp:anchor distT="0" distB="0" distL="114300" distR="114300" simplePos="0" relativeHeight="251662336" behindDoc="0" locked="0" layoutInCell="1" allowOverlap="1" wp14:anchorId="277A2F28" wp14:editId="407060FA">
            <wp:simplePos x="0" y="0"/>
            <wp:positionH relativeFrom="column">
              <wp:posOffset>3048000</wp:posOffset>
            </wp:positionH>
            <wp:positionV relativeFrom="paragraph">
              <wp:posOffset>60960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7">
                      <a:extLst>
                        <a:ext uri="{28A0092B-C50C-407E-A947-70E740481C1C}">
                          <a14:useLocalDpi xmlns:a14="http://schemas.microsoft.com/office/drawing/2010/main" val="0"/>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737FBB">
        <w:rPr>
          <w:b/>
        </w:rPr>
        <w:t xml:space="preserve">Succession </w:t>
      </w:r>
      <w:commentRangeStart w:id="6"/>
      <w:r w:rsidR="002B0F44" w:rsidRPr="00737FBB">
        <w:rPr>
          <w:b/>
        </w:rPr>
        <w:t>Transition</w:t>
      </w:r>
      <w:r w:rsidR="002B0F44" w:rsidRPr="00737FBB">
        <w:rPr>
          <w:rFonts w:ascii="Times" w:hAnsi="Times" w:cs="Times"/>
          <w:sz w:val="26"/>
          <w:szCs w:val="26"/>
          <w:lang w:eastAsia="ja-JP"/>
        </w:rPr>
        <w:t xml:space="preserve"> </w:t>
      </w:r>
      <w:commentRangeEnd w:id="6"/>
      <w:r w:rsidR="002B0F44">
        <w:rPr>
          <w:rStyle w:val="CommentReference"/>
        </w:rPr>
        <w:commentReference w:id="6"/>
      </w:r>
      <w:r w:rsidR="002B0F44">
        <w:rPr>
          <w:rFonts w:ascii="Times" w:hAnsi="Times" w:cs="Times"/>
          <w:sz w:val="26"/>
          <w:szCs w:val="26"/>
          <w:lang w:eastAsia="ja-JP"/>
        </w:rPr>
        <w:tab/>
      </w:r>
      <w:r w:rsidR="002B0F44" w:rsidRPr="006F682A">
        <w:t>In the absence of disturbance, this clas</w:t>
      </w:r>
      <w:r w:rsidR="002B0F44">
        <w:t xml:space="preserve">s will begin transitioning to mid development after 20 years. The probability of succession per time step is 0.8. At 40 years, all </w:t>
      </w:r>
      <w:r w:rsidR="002B0F44" w:rsidRPr="006F682A">
        <w:t>stands will have</w:t>
      </w:r>
      <w:r w:rsidR="002B0F44">
        <w:t xml:space="preserve"> succeeded</w:t>
      </w:r>
      <w:r w:rsidR="002B0F44" w:rsidRPr="006F682A">
        <w:t>.</w:t>
      </w:r>
    </w:p>
    <w:p w14:paraId="0273ABEC" w14:textId="77777777" w:rsidR="002B0F44" w:rsidRDefault="002B0F44" w:rsidP="002B0F44"/>
    <w:p w14:paraId="2A973216"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t xml:space="preserve"> will begin transitioning to MD</w:t>
      </w:r>
      <w:r w:rsidRPr="006027C4">
        <w:t xml:space="preserve"> after </w:t>
      </w:r>
      <w:r>
        <w:t>3</w:t>
      </w:r>
      <w:r w:rsidRPr="006027C4">
        <w:t xml:space="preserve">0 years and may be delayed in the ED stage for as long as </w:t>
      </w:r>
      <w:r>
        <w:t>80</w:t>
      </w:r>
      <w:r w:rsidRPr="006027C4">
        <w:t xml:space="preserve"> years. </w:t>
      </w:r>
      <w:r>
        <w:t>A stand in this condition has a probability of 0.4 that it will succeed.</w:t>
      </w:r>
      <w:r w:rsidRPr="006027C4">
        <w:t xml:space="preserve"> </w:t>
      </w:r>
    </w:p>
    <w:p w14:paraId="05693610" w14:textId="77777777" w:rsidR="002B0F44" w:rsidRDefault="002B0F44" w:rsidP="002B0F44">
      <w:pPr>
        <w:rPr>
          <w:b/>
          <w:lang w:eastAsia="ja-JP"/>
        </w:rPr>
      </w:pPr>
    </w:p>
    <w:p w14:paraId="21F14756" w14:textId="71D51E48"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133B7659" w14:textId="77777777" w:rsidR="002B0F44" w:rsidRPr="002B0F44" w:rsidRDefault="002B0F44" w:rsidP="002B0F44">
      <w:pPr>
        <w:pBdr>
          <w:bottom w:val="single" w:sz="4" w:space="1" w:color="auto"/>
        </w:pBdr>
        <w:rPr>
          <w:lang w:eastAsia="ja-JP"/>
        </w:rPr>
      </w:pPr>
    </w:p>
    <w:p w14:paraId="17F7A9D8" w14:textId="6E2F9D3C"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03B00DA6"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Pr="00E50881">
        <w:rPr>
          <w:rFonts w:cs="Times"/>
          <w:i/>
          <w:lang w:eastAsia="ja-JP"/>
        </w:rPr>
        <w:t>L</w:t>
      </w:r>
      <w:r>
        <w:rPr>
          <w:rFonts w:cs="Times"/>
          <w:i/>
          <w:lang w:eastAsia="ja-JP"/>
        </w:rPr>
        <w:t>.</w:t>
      </w:r>
      <w:r w:rsidRPr="00E50881">
        <w:rPr>
          <w:rFonts w:cs="Times"/>
          <w:i/>
          <w:lang w:eastAsia="ja-JP"/>
        </w:rPr>
        <w:t xml:space="preserve"> densiflorus</w:t>
      </w:r>
      <w:r w:rsidRPr="00E50881">
        <w:rPr>
          <w:rFonts w:cs="Times"/>
          <w:lang w:eastAsia="ja-JP"/>
        </w:rPr>
        <w:t>)</w:t>
      </w:r>
      <w:r>
        <w:rPr>
          <w:rFonts w:cs="Times"/>
          <w:lang w:eastAsia="ja-JP"/>
        </w:rPr>
        <w:t xml:space="preserve">. </w:t>
      </w:r>
      <w:r w:rsidRPr="002B0F44">
        <w:t xml:space="preserve">Other </w:t>
      </w:r>
      <w:r w:rsidRPr="002B0F44">
        <w:rPr>
          <w:i/>
        </w:rPr>
        <w:t>Quercus</w:t>
      </w:r>
      <w:r w:rsidRPr="002B0F44">
        <w:t xml:space="preserve"> and </w:t>
      </w:r>
      <w:r w:rsidRPr="002B0F44">
        <w:rPr>
          <w:i/>
        </w:rPr>
        <w:t>Arctostaphylos</w:t>
      </w:r>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650F6A" w:rsidRPr="00E50881">
        <w:rPr>
          <w:rFonts w:cs="Times"/>
          <w:i/>
          <w:lang w:eastAsia="ja-JP"/>
        </w:rPr>
        <w:t>L</w:t>
      </w:r>
      <w:r w:rsidR="00650F6A">
        <w:rPr>
          <w:rFonts w:cs="Times"/>
          <w:i/>
          <w:lang w:eastAsia="ja-JP"/>
        </w:rPr>
        <w:t>.</w:t>
      </w:r>
      <w:r w:rsidR="00650F6A" w:rsidRPr="00E50881">
        <w:rPr>
          <w:rFonts w:cs="Times"/>
          <w:i/>
          <w:lang w:eastAsia="ja-JP"/>
        </w:rPr>
        <w:t xml:space="preserve"> densiflorus</w:t>
      </w:r>
      <w:r w:rsidR="00650F6A">
        <w:t xml:space="preserve"> canopy</w:t>
      </w:r>
      <w:r w:rsidRPr="002B0F44">
        <w:t xml:space="preserve"> (</w:t>
      </w:r>
      <w:r>
        <w:t>LandFire 2007a</w:t>
      </w:r>
      <w:r w:rsidRPr="002B0F44">
        <w:t xml:space="preserve">, </w:t>
      </w:r>
      <w:r>
        <w:t>McDonald 1988</w:t>
      </w:r>
      <w:r w:rsidRPr="002B0F44">
        <w:t>)</w:t>
      </w:r>
      <w:r w:rsidR="00650F6A">
        <w:t xml:space="preserve">. Ultramafic sites are characterized by open </w:t>
      </w:r>
      <w:r w:rsidR="00EF2EF6">
        <w:rPr>
          <w:i/>
        </w:rPr>
        <w:t xml:space="preserve">P. menziesii </w:t>
      </w:r>
      <w:r w:rsidR="00EF2EF6">
        <w:t xml:space="preserve">or </w:t>
      </w:r>
      <w:r w:rsidR="00650F6A">
        <w:rPr>
          <w:i/>
        </w:rPr>
        <w:t>P. jeffreyi</w:t>
      </w:r>
      <w:r w:rsidR="00650F6A">
        <w:t xml:space="preserve"> stands with an understory comprised of grasses, forbs, and shrubs </w:t>
      </w:r>
      <w:r w:rsidR="00650F6A" w:rsidRPr="00E8175A">
        <w:rPr>
          <w:rFonts w:cs="Times"/>
          <w:lang w:eastAsia="ja-JP"/>
        </w:rPr>
        <w:t>(LandFire 2007b)</w:t>
      </w:r>
      <w:r w:rsidR="00650F6A">
        <w:rPr>
          <w:rFonts w:cs="Times"/>
          <w:lang w:eastAsia="ja-JP"/>
        </w:rPr>
        <w:t>.</w:t>
      </w:r>
    </w:p>
    <w:p w14:paraId="561187E4" w14:textId="31D15DD9" w:rsidR="009C6304" w:rsidRDefault="009C6304" w:rsidP="002B0F44">
      <w:pPr>
        <w:rPr>
          <w:b/>
          <w:sz w:val="32"/>
        </w:rPr>
      </w:pPr>
    </w:p>
    <w:p w14:paraId="512F9918" w14:textId="67BD50B2" w:rsidR="002B0F44" w:rsidRDefault="003D248B" w:rsidP="002B0F44">
      <w:r>
        <w:rPr>
          <w:noProof/>
        </w:rPr>
        <w:drawing>
          <wp:anchor distT="0" distB="0" distL="114300" distR="114300" simplePos="0" relativeHeight="251663360" behindDoc="0" locked="0" layoutInCell="1" allowOverlap="1" wp14:anchorId="1DCF20F9" wp14:editId="64AD6BC4">
            <wp:simplePos x="0" y="0"/>
            <wp:positionH relativeFrom="margin">
              <wp:posOffset>3032760</wp:posOffset>
            </wp:positionH>
            <wp:positionV relativeFrom="margin">
              <wp:posOffset>4810760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8">
                      <a:extLst>
                        <a:ext uri="{28A0092B-C50C-407E-A947-70E740481C1C}">
                          <a14:useLocalDpi xmlns:a14="http://schemas.microsoft.com/office/drawing/2010/main" val="0"/>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t>After 20</w:t>
      </w:r>
      <w:r w:rsidR="002B0F44" w:rsidRPr="00124DFE">
        <w:t xml:space="preserve"> years without a wildfire-triggered transi</w:t>
      </w:r>
      <w:r w:rsidR="002B0F44">
        <w:t>tion, this class will begin transitioning to late development</w:t>
      </w:r>
      <w:r w:rsidR="002B0F44" w:rsidRPr="00124DFE">
        <w:t>.</w:t>
      </w:r>
      <w:r w:rsidR="002B0F44">
        <w:t xml:space="preserve"> The probability of succession per time step is 0.8. At 40 years, all </w:t>
      </w:r>
      <w:r w:rsidR="002B0F44" w:rsidRPr="006F682A">
        <w:t>stands will have</w:t>
      </w:r>
      <w:r w:rsidR="002B0F44">
        <w:t xml:space="preserve"> succeeded</w:t>
      </w:r>
      <w:r w:rsidR="002B0F44" w:rsidRPr="006F682A">
        <w:t>.</w:t>
      </w:r>
    </w:p>
    <w:p w14:paraId="148C9FA4" w14:textId="77777777" w:rsidR="002B0F44" w:rsidRDefault="002B0F44" w:rsidP="002B0F44"/>
    <w:p w14:paraId="2A1119EB" w14:textId="3245396D"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t>M</w:t>
      </w:r>
      <w:r w:rsidRPr="006027C4">
        <w:t xml:space="preserve">D stage for as long as </w:t>
      </w:r>
      <w:r>
        <w:t>80</w:t>
      </w:r>
      <w:r w:rsidRPr="006027C4">
        <w:t xml:space="preserve"> years. </w:t>
      </w:r>
      <w:r>
        <w:t>A stand in this condition has a probability of 0.4 that it will succeed.</w:t>
      </w:r>
      <w:r w:rsidRPr="006027C4">
        <w:t xml:space="preserve"> </w:t>
      </w:r>
    </w:p>
    <w:p w14:paraId="6D1C0AEF" w14:textId="77777777" w:rsidR="002B0F44" w:rsidRDefault="002B0F44" w:rsidP="002B0F44"/>
    <w:p w14:paraId="67DC665D" w14:textId="77777777" w:rsidR="002B0F44" w:rsidRDefault="002B0F44" w:rsidP="002B0F44">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0D4FDB39" w14:textId="77777777" w:rsidR="002B0F44" w:rsidRPr="00124DFE" w:rsidRDefault="002B0F44" w:rsidP="002B0F44"/>
    <w:p w14:paraId="4B99E097"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4B9392B0"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r w:rsidRPr="002B0F44">
        <w:t xml:space="preserve">Overstory of large and very large conifers, primarily </w:t>
      </w:r>
      <w:r w:rsidRPr="002B0F44">
        <w:rPr>
          <w:i/>
        </w:rPr>
        <w:t>P. menziesii</w:t>
      </w:r>
      <w:r w:rsidRPr="002B0F44">
        <w:t xml:space="preserve">. Canopy cover exceeds 60%. </w:t>
      </w:r>
      <w:r>
        <w:rPr>
          <w:i/>
        </w:rPr>
        <w:t>P. lambertiana</w:t>
      </w:r>
      <w:r w:rsidRPr="002B0F44">
        <w:t xml:space="preserve"> also occurs. </w:t>
      </w:r>
      <w:r w:rsidRPr="002B0F44">
        <w:rPr>
          <w:i/>
        </w:rPr>
        <w:t>L. densiflorus</w:t>
      </w:r>
      <w:r w:rsidRPr="002B0F44">
        <w:t xml:space="preserve"> is tolerant of both full sun and shade, and usually dominates the subcanopy at this stage. Co-dominance of the upper canopy with </w:t>
      </w:r>
      <w:r w:rsidR="00650F6A">
        <w:rPr>
          <w:i/>
        </w:rPr>
        <w:t>P. menziesii</w:t>
      </w:r>
      <w:r w:rsidRPr="002B0F44">
        <w:t xml:space="preserve"> is uncommon but possible after extended periods without disturbance. </w:t>
      </w:r>
      <w:r w:rsidRPr="00650F6A">
        <w:rPr>
          <w:i/>
        </w:rPr>
        <w:t>Quercus</w:t>
      </w:r>
      <w:r w:rsidRPr="002B0F44">
        <w:t xml:space="preserve"> and </w:t>
      </w:r>
      <w:r w:rsidRPr="00650F6A">
        <w:rPr>
          <w:i/>
        </w:rPr>
        <w:t>Arctostaphylos</w:t>
      </w:r>
      <w:r w:rsidRPr="002B0F44">
        <w:t xml:space="preserve"> species may also be present in th</w:t>
      </w:r>
      <w:r w:rsidR="00764674">
        <w:t>e sub-</w:t>
      </w:r>
      <w:r w:rsidRPr="002B0F44">
        <w:t>canopy (</w:t>
      </w:r>
      <w:r w:rsidR="00650F6A" w:rsidRPr="008E7054">
        <w:t>Uchytil</w:t>
      </w:r>
      <w:r w:rsidR="00650F6A">
        <w:t xml:space="preserve"> 1991</w:t>
      </w:r>
      <w:r w:rsidRPr="002B0F44">
        <w:t xml:space="preserve">, </w:t>
      </w:r>
      <w:r w:rsidR="00650F6A">
        <w:t>LandFire 2007a</w:t>
      </w:r>
      <w:r w:rsidRPr="002B0F44">
        <w:t>)</w:t>
      </w:r>
      <w:r w:rsidR="00650F6A">
        <w:t>.</w:t>
      </w:r>
    </w:p>
    <w:p w14:paraId="799709AB" w14:textId="694A799C" w:rsidR="009C6304" w:rsidRDefault="00CA3618" w:rsidP="00CA3618">
      <w:pPr>
        <w:ind w:firstLine="360"/>
        <w:rPr>
          <w:b/>
        </w:rPr>
      </w:pPr>
      <w:r>
        <w:t xml:space="preserve">On ultramafic sites, large </w:t>
      </w:r>
      <w:r>
        <w:rPr>
          <w:i/>
        </w:rPr>
        <w:t>P. jeffreyi</w:t>
      </w:r>
      <w:r>
        <w:t xml:space="preserve"> 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77777777" w:rsidR="00D23D98" w:rsidRDefault="00D23D98" w:rsidP="00D23D98">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C877087" w14:textId="77777777" w:rsidR="00D23D98" w:rsidRPr="00124DFE" w:rsidRDefault="00D23D98" w:rsidP="00D23D98"/>
    <w:p w14:paraId="52F4E1A7" w14:textId="77777777" w:rsidR="00D23D98" w:rsidRDefault="00D23D98" w:rsidP="00D23D98">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 xml:space="preserve">Condition </w:t>
      </w:r>
      <w:commentRangeStart w:id="7"/>
      <w:commentRangeStart w:id="8"/>
      <w:r w:rsidRPr="006F682A">
        <w:rPr>
          <w:b/>
          <w:sz w:val="32"/>
        </w:rPr>
        <w:t>Classification</w:t>
      </w:r>
      <w:commentRangeEnd w:id="7"/>
      <w:r>
        <w:rPr>
          <w:rStyle w:val="CommentReference"/>
        </w:rPr>
        <w:commentReference w:id="7"/>
      </w:r>
      <w:commentRangeEnd w:id="8"/>
      <w:r w:rsidR="00114723">
        <w:rPr>
          <w:rStyle w:val="CommentReference"/>
          <w:rFonts w:eastAsia="Times New Roman"/>
          <w:noProof/>
        </w:rPr>
        <w:commentReference w:id="8"/>
      </w:r>
    </w:p>
    <w:p w14:paraId="19BCFBE0" w14:textId="72B59496" w:rsidR="00A22994" w:rsidRPr="00374919" w:rsidRDefault="00A22994" w:rsidP="00A22994">
      <w:pPr>
        <w:rPr>
          <w:sz w:val="22"/>
        </w:rPr>
      </w:pPr>
      <w:r w:rsidRPr="00374919">
        <w:rPr>
          <w:sz w:val="22"/>
        </w:rPr>
        <w:t xml:space="preserve">Table 2. Classification of cover condition for </w:t>
      </w:r>
      <w:r>
        <w:rPr>
          <w:sz w:val="22"/>
        </w:rPr>
        <w:t>MHW</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r w:rsidRPr="006F682A">
              <w:t>Overstory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r w:rsidRPr="006F682A">
              <w:t>Overstory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2C5E465D" w14:textId="77777777" w:rsidR="008C5A19" w:rsidRDefault="008C5A19" w:rsidP="00CA2E76">
      <w:pPr>
        <w:spacing w:line="276" w:lineRule="auto"/>
        <w:ind w:left="720" w:hanging="720"/>
      </w:pPr>
      <w:r>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7BE203F" w14:textId="140849F0" w:rsidR="008C5A19" w:rsidRDefault="008C5A19" w:rsidP="00CA2E76">
      <w:pPr>
        <w:spacing w:line="276" w:lineRule="auto"/>
        <w:ind w:left="720" w:hanging="720"/>
      </w:pPr>
      <w:r>
        <w:t xml:space="preserve">LandFire. “Biophysical Setting Models.” Biophysical Setting </w:t>
      </w:r>
      <w:r w:rsidRPr="00F07DF2">
        <w:t>0610</w:t>
      </w:r>
      <w:r>
        <w:t>43</w:t>
      </w:r>
      <w:r w:rsidRPr="00F07DF2">
        <w:t>0</w:t>
      </w:r>
      <w:r>
        <w:t>. 2007a. LANDFIRE Project, U.S. Department of Agriculture, Forest Service; U.S. Department of the Interior. &lt;</w:t>
      </w:r>
      <w:r w:rsidRPr="00283D74">
        <w:t>http://www.landfire.gov/national_veg_models_op2.php</w:t>
      </w:r>
      <w:r>
        <w:t>&gt;. Accessed 9 November 2012.</w:t>
      </w:r>
    </w:p>
    <w:p w14:paraId="13E7EF26" w14:textId="77777777" w:rsidR="008C5A19" w:rsidRDefault="008C5A19" w:rsidP="00CA2E76">
      <w:pPr>
        <w:spacing w:line="276" w:lineRule="auto"/>
        <w:ind w:left="720" w:hanging="720"/>
      </w:pPr>
      <w:r>
        <w:t xml:space="preserve">LandFire.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43CE4B9D" w14:textId="77777777" w:rsidR="008C5A19" w:rsidRDefault="008C5A19" w:rsidP="00CA2E76">
      <w:pPr>
        <w:spacing w:line="276" w:lineRule="auto"/>
        <w:ind w:left="720" w:hanging="720"/>
      </w:pPr>
      <w:r>
        <w:t xml:space="preserve">McDonald, Philip M. “Montane Hardwood (MHW).” </w:t>
      </w:r>
      <w:r>
        <w:rPr>
          <w:i/>
        </w:rPr>
        <w:t>A Guide to Wildlife Habitats of California</w:t>
      </w:r>
      <w:r>
        <w:t>. 1988. Mayer, Kenneth E. and Laudenslayer, William F., eds. California Deparment of Fish and Game. &lt;</w:t>
      </w:r>
      <w:r w:rsidRPr="0077408A">
        <w:t>http://www.dfg.ca.gov/biogeodata/cwhr/pdfs/</w:t>
      </w:r>
      <w:r>
        <w:t>MHW</w:t>
      </w:r>
      <w:r w:rsidRPr="0077408A">
        <w:t>.pdf</w:t>
      </w:r>
      <w:r>
        <w:t>&gt;. Accessed 4 December 2012.</w:t>
      </w:r>
    </w:p>
    <w:p w14:paraId="5C379276" w14:textId="77777777" w:rsidR="008C5A19" w:rsidRDefault="008C5A19" w:rsidP="00CA2E76">
      <w:pPr>
        <w:spacing w:line="276" w:lineRule="auto"/>
        <w:ind w:left="720" w:hanging="720"/>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091C81B3" w14:textId="5489D38B" w:rsidR="00D3748F" w:rsidRPr="00D3748F" w:rsidRDefault="00D3748F" w:rsidP="00CA2E76">
      <w:pPr>
        <w:spacing w:line="276" w:lineRule="auto"/>
        <w:ind w:left="720" w:hanging="720"/>
      </w:pPr>
      <w:r>
        <w:rPr>
          <w:rFonts w:cs="Times"/>
          <w:iCs/>
          <w:color w:val="1D1D1D"/>
          <w:lang w:eastAsia="ja-JP"/>
        </w:rPr>
        <w:t xml:space="preserve">Raphael, Martin G. “Douglas-Fir (DFR).” </w:t>
      </w:r>
      <w:r>
        <w:rPr>
          <w:i/>
        </w:rPr>
        <w:t>A Guide to Wildlife Habitats of California</w:t>
      </w:r>
      <w:r>
        <w:t>. 1988. Mayer, Kenneth E. and Laudenslayer, William F., eds. California Deparment of Fish and Game. &lt;</w:t>
      </w:r>
      <w:r w:rsidRPr="0077408A">
        <w:t>http://www.dfg.ca.gov/biogeodata/cwhr/pdfs/</w:t>
      </w:r>
      <w:r>
        <w:t>DFR</w:t>
      </w:r>
      <w:r w:rsidRPr="0077408A">
        <w:t>.pdf</w:t>
      </w:r>
      <w:r>
        <w:t>&gt;. Accessed 4 December 2012.</w:t>
      </w:r>
    </w:p>
    <w:p w14:paraId="5AFA9D32" w14:textId="77777777" w:rsidR="008C5A19" w:rsidRPr="00EC6359" w:rsidRDefault="008C5A19" w:rsidP="00CA2E76">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082373D5" w14:textId="2AB9AF68" w:rsidR="00E522EE" w:rsidRDefault="00E522EE" w:rsidP="00E522EE">
      <w:pPr>
        <w:spacing w:line="276" w:lineRule="auto"/>
        <w:ind w:left="720" w:hanging="720"/>
      </w:pPr>
      <w:r>
        <w:t xml:space="preserve">Tappeiner, John C., McDonald, Philip M., Roy, Douglass F. </w:t>
      </w:r>
      <w:r w:rsidR="00CE6555">
        <w:t xml:space="preserve">1990. </w:t>
      </w:r>
      <w:r>
        <w:t>“Tanoak.” Silvics of North America: 2. Hardwoods. Agriculture Handbook 654. Burns, Russell M., and Barbara H. Honkala, tech. cords. U.S. Department of Agriculture, Forest Service. &lt;</w:t>
      </w:r>
      <w:r w:rsidRPr="008C5A19">
        <w:t>http://www.na.fs.fed.us/spfo/pubs/silvics_manual/volume_2/quercus/chrysolepis.htm</w:t>
      </w:r>
      <w:r>
        <w:t>&gt;. Accessed 7 December 2012.</w:t>
      </w:r>
    </w:p>
    <w:p w14:paraId="7A649A97" w14:textId="3B965683" w:rsidR="008E7054" w:rsidRPr="008E7054" w:rsidRDefault="008E7054" w:rsidP="008E7054">
      <w:pPr>
        <w:ind w:left="720" w:hanging="720"/>
      </w:pPr>
      <w:r w:rsidRPr="008E7054">
        <w:t xml:space="preserve">Uchytil, Ronald J. 1991. </w:t>
      </w:r>
      <w:r>
        <w:t>“</w:t>
      </w:r>
      <w:r w:rsidRPr="008E7054">
        <w:rPr>
          <w:i/>
        </w:rPr>
        <w:t>Pseudotsuga menziesii var. menziesii</w:t>
      </w:r>
      <w:r>
        <w:rPr>
          <w:i/>
        </w:rPr>
        <w:t>”</w:t>
      </w:r>
      <w:r>
        <w:t xml:space="preserve">.  </w:t>
      </w:r>
      <w:r w:rsidRPr="008E7054">
        <w:t>F</w:t>
      </w:r>
      <w:r>
        <w:t xml:space="preserve">ire Effects Information System. </w:t>
      </w:r>
      <w:r w:rsidRPr="008E7054">
        <w:t>U.S. Department of Agriculture, Forest Service,  Rocky Mountain Research Station, Fire S</w:t>
      </w:r>
      <w:r>
        <w:t>ciences Laboratory. &lt;</w:t>
      </w:r>
      <w:r w:rsidRPr="008E7054">
        <w:t>http://www.fs.fed.us/database/feis/plants/tree/psemenm/all.html</w:t>
      </w:r>
      <w:r>
        <w:t>&gt;</w:t>
      </w:r>
      <w:r w:rsidRPr="008E7054">
        <w:t>.</w:t>
      </w:r>
    </w:p>
    <w:p w14:paraId="0F6E46AF" w14:textId="008B8B92" w:rsidR="008C5A19" w:rsidRPr="009A567E" w:rsidRDefault="008E7054" w:rsidP="008E7054">
      <w:pPr>
        <w:spacing w:line="276" w:lineRule="auto"/>
        <w:ind w:left="720" w:hanging="720"/>
        <w:rPr>
          <w:rFonts w:cs="Times"/>
          <w:iCs/>
          <w:color w:val="1D1D1D"/>
          <w:lang w:eastAsia="ja-JP"/>
        </w:rPr>
      </w:pPr>
      <w:r w:rsidRPr="008E7054">
        <w:t xml:space="preserve"> </w:t>
      </w:r>
      <w:r w:rsidR="008C5A19">
        <w:t xml:space="preserve">Van de Water, Kip M. and Safford, Hugh D. “A Summary of Fire Frequency Estimates for California Vegetation Before Euro-American Settlement.” </w:t>
      </w:r>
      <w:r w:rsidR="008C5A19">
        <w:rPr>
          <w:i/>
        </w:rPr>
        <w:t>Fire Ecology</w:t>
      </w:r>
      <w:r w:rsidR="008C5A19">
        <w:t xml:space="preserve"> 7.3 (2011): 26-57.</w:t>
      </w:r>
      <w:r w:rsidR="008C5A19" w:rsidRPr="00BE12CD">
        <w:t xml:space="preserve"> </w:t>
      </w:r>
      <w:r w:rsidR="008C5A19" w:rsidRPr="00BE12CD">
        <w:rPr>
          <w:rFonts w:cs="Times"/>
          <w:iCs/>
          <w:color w:val="1D1D1D"/>
          <w:lang w:eastAsia="ja-JP"/>
        </w:rPr>
        <w:t>doi: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17:26:00Z" w:initials="MM">
    <w:p w14:paraId="0102AF22" w14:textId="77777777" w:rsidR="00114723" w:rsidRDefault="00114723" w:rsidP="00BD717B">
      <w:pPr>
        <w:pStyle w:val="CommentText"/>
      </w:pPr>
      <w:r>
        <w:rPr>
          <w:rStyle w:val="CommentReference"/>
        </w:rPr>
        <w:annotationRef/>
      </w:r>
      <w:r>
        <w:t>We could add # patches here too.</w:t>
      </w:r>
    </w:p>
  </w:comment>
  <w:comment w:id="1" w:author="Maritza Mallek" w:date="2013-05-22T21:30:00Z" w:initials="MM">
    <w:p w14:paraId="4688EC04" w14:textId="77777777" w:rsidR="00114723" w:rsidRDefault="00114723" w:rsidP="00BF3A20">
      <w:pPr>
        <w:pStyle w:val="CommentText"/>
      </w:pPr>
      <w:r>
        <w:rPr>
          <w:rStyle w:val="CommentReference"/>
        </w:rPr>
        <w:annotationRef/>
      </w:r>
      <w:r>
        <w:t>Would this mainly be chaparral species?</w:t>
      </w:r>
    </w:p>
  </w:comment>
  <w:comment w:id="2" w:author="Maritza Mallek" w:date="2013-05-22T21:38:00Z" w:initials="MM">
    <w:p w14:paraId="478993D1" w14:textId="77777777" w:rsidR="00114723" w:rsidRDefault="00114723" w:rsidP="00A12048">
      <w:pPr>
        <w:pStyle w:val="CommentText"/>
      </w:pPr>
      <w:r>
        <w:rPr>
          <w:rStyle w:val="CommentReference"/>
        </w:rPr>
        <w:annotationRef/>
      </w:r>
      <w:r>
        <w:t xml:space="preserve">I also want to note that the FRID/Van de Water and Safford paper lumped </w:t>
      </w:r>
    </w:p>
    <w:p w14:paraId="03F896D1" w14:textId="77777777" w:rsidR="00114723" w:rsidRDefault="00114723" w:rsidP="00A12048">
      <w:pPr>
        <w:pStyle w:val="CommentText"/>
      </w:pPr>
      <w:r>
        <w:t>serpentine mixed conifer in with moist mixed conifer.</w:t>
      </w:r>
    </w:p>
  </w:comment>
  <w:comment w:id="4" w:author="Maritza Mallek" w:date="2013-05-22T21:52:00Z" w:initials="MM">
    <w:p w14:paraId="4590B766" w14:textId="77777777" w:rsidR="00114723" w:rsidRDefault="00114723" w:rsidP="009C6304">
      <w:pPr>
        <w:pStyle w:val="CommentText"/>
      </w:pPr>
      <w:r>
        <w:rPr>
          <w:rStyle w:val="CommentReference"/>
        </w:rPr>
        <w:annotationRef/>
      </w:r>
      <w:r>
        <w:t>For the reviewer:</w:t>
      </w:r>
      <w:r>
        <w:br/>
        <w:t>ED = Early Development</w:t>
      </w:r>
    </w:p>
    <w:p w14:paraId="5BD89773" w14:textId="77777777" w:rsidR="00114723" w:rsidRDefault="00114723" w:rsidP="009C6304">
      <w:pPr>
        <w:pStyle w:val="CommentText"/>
      </w:pPr>
      <w:r>
        <w:t>MD = Mid Development</w:t>
      </w:r>
    </w:p>
    <w:p w14:paraId="1F36F6FD" w14:textId="77777777" w:rsidR="00114723" w:rsidRDefault="00114723" w:rsidP="009C6304">
      <w:pPr>
        <w:pStyle w:val="CommentText"/>
      </w:pPr>
      <w:r>
        <w:t>LD = Late Development</w:t>
      </w:r>
    </w:p>
    <w:p w14:paraId="1AAE0415" w14:textId="77777777" w:rsidR="00114723" w:rsidRDefault="00114723" w:rsidP="009C6304">
      <w:pPr>
        <w:pStyle w:val="CommentText"/>
      </w:pPr>
      <w:r>
        <w:t>O (as in MDO) = Open (canopy)</w:t>
      </w:r>
    </w:p>
    <w:p w14:paraId="20DF47A3" w14:textId="77777777" w:rsidR="00114723" w:rsidRDefault="00114723" w:rsidP="009C6304">
      <w:pPr>
        <w:pStyle w:val="CommentText"/>
      </w:pPr>
      <w:r>
        <w:t>C = Closed (canopy)</w:t>
      </w:r>
    </w:p>
  </w:comment>
  <w:comment w:id="5" w:author="Maritza Mallek" w:date="2013-05-29T14:17:00Z" w:initials="MM">
    <w:p w14:paraId="6B7B120F" w14:textId="61791777" w:rsidR="00114723" w:rsidRDefault="00114723">
      <w:pPr>
        <w:pStyle w:val="CommentText"/>
      </w:pPr>
      <w:r>
        <w:rPr>
          <w:rStyle w:val="CommentReference"/>
        </w:rPr>
        <w:annotationRef/>
      </w:r>
      <w:r>
        <w:t xml:space="preserve">The Doug Fir WHR description suggests some sites may develop very slowly. </w:t>
      </w:r>
    </w:p>
    <w:p w14:paraId="12330AF0" w14:textId="7E8788F1" w:rsidR="00114723" w:rsidRDefault="00114723" w:rsidP="004179B9">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09D7964" w14:textId="2446C447" w:rsidR="00114723" w:rsidRDefault="00114723" w:rsidP="004179B9">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Currently stage duration values come from LandFire. Which set should we use for the model?</w:t>
      </w:r>
    </w:p>
    <w:p w14:paraId="0B648E1C" w14:textId="77777777" w:rsidR="00114723" w:rsidRDefault="00114723">
      <w:pPr>
        <w:pStyle w:val="CommentText"/>
      </w:pPr>
    </w:p>
  </w:comment>
  <w:comment w:id="6" w:author="Maritza Mallek" w:date="2013-05-29T17:41:00Z" w:initials="MM">
    <w:p w14:paraId="53EFF5E8" w14:textId="40B027E4" w:rsidR="00114723" w:rsidRDefault="00114723" w:rsidP="002B0F44">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rsidR="00465C88">
        <w:t>LandFire</w:t>
      </w:r>
      <w:r w:rsidRPr="00737FBB">
        <w:t>, and one that happens at the rate provided for ”low severity”. This way the transition probability can simply be written as time since last disturbance.</w:t>
      </w:r>
    </w:p>
  </w:comment>
  <w:comment w:id="7" w:author="Maritza Mallek" w:date="2013-05-29T14:19:00Z" w:initials="MM">
    <w:p w14:paraId="3763EAA8" w14:textId="77777777" w:rsidR="00114723" w:rsidRDefault="00114723" w:rsidP="00A22994">
      <w:pPr>
        <w:pStyle w:val="CommentText"/>
      </w:pPr>
      <w:r>
        <w:rPr>
          <w:rStyle w:val="CommentReference"/>
        </w:rPr>
        <w:annotationRef/>
      </w:r>
      <w:r>
        <w:t>Need to examine this closely.</w:t>
      </w:r>
    </w:p>
  </w:comment>
  <w:comment w:id="8" w:author="Maritza Mallek" w:date="2013-05-29T15:31:00Z" w:initials="MM">
    <w:p w14:paraId="4E998B1C" w14:textId="639A5F4D" w:rsidR="00114723" w:rsidRDefault="00114723">
      <w:pPr>
        <w:pStyle w:val="CommentText"/>
      </w:pPr>
      <w:r>
        <w:rPr>
          <w:rStyle w:val="CommentReference"/>
        </w:rPr>
        <w:annotationRef/>
      </w:r>
      <w:r w:rsidR="004A7C6A">
        <w:t>If LIDE is RD1 RD2 is not relevant.</w:t>
      </w: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114723"/>
    <w:rsid w:val="002A0405"/>
    <w:rsid w:val="002B0F44"/>
    <w:rsid w:val="003D248B"/>
    <w:rsid w:val="004179B9"/>
    <w:rsid w:val="00465C88"/>
    <w:rsid w:val="00492660"/>
    <w:rsid w:val="004A7C6A"/>
    <w:rsid w:val="00650F6A"/>
    <w:rsid w:val="006D1CCB"/>
    <w:rsid w:val="00764674"/>
    <w:rsid w:val="008C5A19"/>
    <w:rsid w:val="008E7054"/>
    <w:rsid w:val="009C6304"/>
    <w:rsid w:val="009C7F24"/>
    <w:rsid w:val="009E4D70"/>
    <w:rsid w:val="00A12048"/>
    <w:rsid w:val="00A22994"/>
    <w:rsid w:val="00B92F3E"/>
    <w:rsid w:val="00BD0F70"/>
    <w:rsid w:val="00BD717B"/>
    <w:rsid w:val="00BE7428"/>
    <w:rsid w:val="00BF3A20"/>
    <w:rsid w:val="00C2205B"/>
    <w:rsid w:val="00C563A7"/>
    <w:rsid w:val="00C92B93"/>
    <w:rsid w:val="00CA2E76"/>
    <w:rsid w:val="00CA3618"/>
    <w:rsid w:val="00CE6555"/>
    <w:rsid w:val="00D23D98"/>
    <w:rsid w:val="00D244A2"/>
    <w:rsid w:val="00D3748F"/>
    <w:rsid w:val="00E50881"/>
    <w:rsid w:val="00E522EE"/>
    <w:rsid w:val="00EF2EF6"/>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2342</Words>
  <Characters>13351</Characters>
  <Application>Microsoft Macintosh Word</Application>
  <DocSecurity>0</DocSecurity>
  <Lines>111</Lines>
  <Paragraphs>31</Paragraphs>
  <ScaleCrop>false</ScaleCrop>
  <Company/>
  <LinksUpToDate>false</LinksUpToDate>
  <CharactersWithSpaces>15662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22</cp:revision>
  <dcterms:created xsi:type="dcterms:W3CDTF">2013-05-22T21:26:00Z</dcterms:created>
  <dcterms:modified xsi:type="dcterms:W3CDTF">2013-05-29T21:41:00Z</dcterms:modified>
</cp:coreProperties>
</file>