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549D1CBF" w14:textId="0B6D2324" w:rsidR="00B27B6E" w:rsidRDefault="00E421DC" w:rsidP="007F2F0B">
      <w:pPr>
        <w:pStyle w:val="ListParagraph"/>
      </w:pPr>
      <w:r>
        <w:t>Reviewed by Becky Estes, Province Ecologist, USDA Forest Service</w:t>
      </w:r>
    </w:p>
    <w:p w14:paraId="5179BBFA" w14:textId="74E9C908" w:rsidR="00E421DC" w:rsidRDefault="00E421DC" w:rsidP="007F2F0B">
      <w:pPr>
        <w:pStyle w:val="ListParagraph"/>
      </w:pPr>
      <w:r>
        <w:t>Reviewed by Kyle Merriam, Province Ecologist, USDA Forest Service</w:t>
      </w:r>
    </w:p>
    <w:p w14:paraId="2A649DA9" w14:textId="77777777" w:rsidR="00F07DF2" w:rsidRDefault="00F07DF2" w:rsidP="007F2F0B">
      <w:pPr>
        <w:pStyle w:val="ListParagraph"/>
      </w:pPr>
      <w:r>
        <w:t>Crosswalks</w:t>
      </w:r>
    </w:p>
    <w:p w14:paraId="387FB45C" w14:textId="55F67FD7" w:rsidR="00EF4A08" w:rsidRDefault="00EF4A08" w:rsidP="00EF4A08">
      <w:pPr>
        <w:pStyle w:val="ListParagraph"/>
        <w:numPr>
          <w:ilvl w:val="1"/>
          <w:numId w:val="2"/>
        </w:numPr>
      </w:pPr>
      <w:r>
        <w:t>East of the Sierra Crest</w:t>
      </w:r>
    </w:p>
    <w:p w14:paraId="1636F8E1" w14:textId="69E990FA" w:rsidR="00EF4A08" w:rsidRDefault="00EF4A08" w:rsidP="00EF4A08">
      <w:pPr>
        <w:pStyle w:val="ListParagraph"/>
        <w:numPr>
          <w:ilvl w:val="2"/>
          <w:numId w:val="2"/>
        </w:numPr>
      </w:pPr>
      <w:r>
        <w:t>Regional Dominance Type 1 = Black Oak</w:t>
      </w:r>
    </w:p>
    <w:p w14:paraId="6C934C78" w14:textId="7D7AB3FE" w:rsidR="00EF4A08" w:rsidRDefault="00EF4A08" w:rsidP="00EF4A08">
      <w:pPr>
        <w:pStyle w:val="ListParagraph"/>
        <w:numPr>
          <w:ilvl w:val="2"/>
          <w:numId w:val="2"/>
        </w:numPr>
      </w:pPr>
      <w:r>
        <w:t>Regional Dominance Type 1 = Eastside Pine, Jeffrey Pine, Ponderosa Pine</w:t>
      </w:r>
    </w:p>
    <w:p w14:paraId="03435F2D" w14:textId="08BA9815" w:rsidR="00EF4A08" w:rsidRDefault="00A12CB5" w:rsidP="00EF4A08">
      <w:pPr>
        <w:pStyle w:val="ListParagraph"/>
        <w:numPr>
          <w:ilvl w:val="4"/>
          <w:numId w:val="2"/>
        </w:numPr>
        <w:ind w:left="1800"/>
      </w:pPr>
      <w:r>
        <w:t xml:space="preserve">Regional Dominance Type 2 = </w:t>
      </w:r>
      <w:r w:rsidR="00EF4A08">
        <w:t>Black Oak</w:t>
      </w:r>
      <w:r>
        <w:t xml:space="preserve">, </w:t>
      </w:r>
      <w:r w:rsidR="00EF4A08">
        <w:t>Canyon Live Oak</w:t>
      </w:r>
      <w:r>
        <w:t xml:space="preserve">, </w:t>
      </w:r>
      <w:r w:rsidR="00EF4A08">
        <w:t>Madrone</w:t>
      </w:r>
      <w:r>
        <w:t xml:space="preserve">, </w:t>
      </w:r>
      <w:r w:rsidR="00EF4A08">
        <w:t>Montane Mixed Hardwood</w:t>
      </w:r>
      <w:r>
        <w:t xml:space="preserve">, </w:t>
      </w:r>
      <w:r w:rsidR="00EF4A08">
        <w:t>Scrub Oak</w:t>
      </w:r>
    </w:p>
    <w:p w14:paraId="49A0905C" w14:textId="2FCF02EC" w:rsidR="00EF4A08" w:rsidRDefault="00EF4A08" w:rsidP="00EF4A08">
      <w:pPr>
        <w:pStyle w:val="ListParagraph"/>
        <w:numPr>
          <w:ilvl w:val="1"/>
          <w:numId w:val="2"/>
        </w:numPr>
      </w:pPr>
      <w:r>
        <w:t>West of the Sierra Crest</w:t>
      </w:r>
    </w:p>
    <w:p w14:paraId="33AFE7FC" w14:textId="2758B198" w:rsidR="00EF4A08" w:rsidRDefault="00EF4A08" w:rsidP="00EF4A08">
      <w:pPr>
        <w:pStyle w:val="ListParagraph"/>
        <w:numPr>
          <w:ilvl w:val="2"/>
          <w:numId w:val="2"/>
        </w:numPr>
      </w:pPr>
      <w:r>
        <w:t>Regional Dominance Type 1 = Black Oak, Eastside Pine, Jeffrey Pine, Ponderosa Pine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0E8C7E4" w:rsidR="00D6111E" w:rsidRPr="00E41604" w:rsidRDefault="007F2F0B" w:rsidP="007F2F0B">
      <w:pPr>
        <w:jc w:val="left"/>
        <w:rPr>
          <w:i/>
          <w:szCs w:val="24"/>
        </w:rPr>
      </w:pP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t>
      </w:r>
      <w:r w:rsidR="00E421DC">
        <w:rPr>
          <w:szCs w:val="24"/>
        </w:rPr>
        <w:t xml:space="preserve">or </w:t>
      </w:r>
      <w:r w:rsidR="00E421DC">
        <w:rPr>
          <w:i/>
          <w:szCs w:val="24"/>
        </w:rPr>
        <w:t xml:space="preserve">Pinus jeffreyi </w:t>
      </w:r>
      <w:r w:rsidR="00D6111E">
        <w:rPr>
          <w:szCs w:val="24"/>
        </w:rPr>
        <w:t xml:space="preserve">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21DC">
        <w:rPr>
          <w:szCs w:val="24"/>
        </w:rPr>
        <w:t>tends to dominate</w:t>
      </w:r>
      <w:r w:rsidR="00E41604">
        <w:rPr>
          <w:szCs w:val="24"/>
        </w:rPr>
        <w:t xml:space="preserve">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27161C">
        <w:rPr>
          <w:szCs w:val="24"/>
        </w:rPr>
        <w:t xml:space="preserve">as a bi-layered canopy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45C283F3"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t>
      </w:r>
      <w:r w:rsidR="00E421DC">
        <w:t xml:space="preserve">or </w:t>
      </w:r>
      <w:r w:rsidR="00E421DC">
        <w:rPr>
          <w:i/>
        </w:rPr>
        <w:t xml:space="preserve">P. jeffreyi </w:t>
      </w:r>
      <w:r w:rsidR="004B1A2C">
        <w:t xml:space="preserve">woodlands occur mainly on low-elevation ultramafics. They grow on strongly serpentinized soil, and are </w:t>
      </w:r>
      <w:r w:rsidR="00E421DC">
        <w:t>typically adjacent to the non-ultramafic form of the cover type</w:t>
      </w:r>
      <w:r w:rsidR="004B1A2C">
        <w:t xml:space="preserve">. While </w:t>
      </w:r>
      <w:r w:rsidR="004B1A2C" w:rsidRPr="004B1A2C">
        <w:rPr>
          <w:i/>
        </w:rPr>
        <w:t>P. ponderosa</w:t>
      </w:r>
      <w:r w:rsidR="004B1A2C">
        <w:t xml:space="preserve"> </w:t>
      </w:r>
      <w:r w:rsidR="00E421DC">
        <w:t xml:space="preserve">or </w:t>
      </w:r>
      <w:r w:rsidR="00E421DC">
        <w:rPr>
          <w:i/>
        </w:rPr>
        <w:t xml:space="preserve">P. jeffreyi </w:t>
      </w:r>
      <w:r w:rsidR="004B1A2C">
        <w:t xml:space="preserve">dominates, it </w:t>
      </w:r>
      <w:r w:rsidR="00E421DC">
        <w:t>may be</w:t>
      </w:r>
      <w:r w:rsidR="004B1A2C">
        <w:t xml:space="preserve">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B47518">
        <w:rPr>
          <w:i/>
        </w:rPr>
        <w:t xml:space="preserve"> </w:t>
      </w:r>
      <w:r w:rsidR="00B47518">
        <w:t>(O’Geen et al. 2007)</w:t>
      </w:r>
      <w:r w:rsidR="004B1A2C">
        <w:t xml:space="preserve">. </w:t>
      </w:r>
      <w:r w:rsidR="00686D9B">
        <w:rPr>
          <w:i/>
        </w:rPr>
        <w:t xml:space="preserve">Q. kelloggi </w:t>
      </w:r>
      <w:r w:rsidR="00686D9B">
        <w:t xml:space="preserve">is rare on ultramafic soils (Fryer 2007). </w:t>
      </w:r>
      <w:r w:rsidR="004B1A2C">
        <w:t xml:space="preserve">The shrub layer is dominated by </w:t>
      </w:r>
      <w:r w:rsidR="004B1A2C" w:rsidRPr="004B1A2C">
        <w:rPr>
          <w:i/>
        </w:rPr>
        <w:lastRenderedPageBreak/>
        <w:t>Arctostaphylos, Ceanothus, Eriodictyon, Heteromeles,</w:t>
      </w:r>
      <w:r w:rsidR="00E421DC">
        <w:rPr>
          <w:i/>
        </w:rPr>
        <w:t xml:space="preserve"> </w:t>
      </w:r>
      <w:r w:rsidR="00E421DC">
        <w:t>and</w:t>
      </w:r>
      <w:r w:rsidR="004B1A2C" w:rsidRPr="004B1A2C">
        <w:rPr>
          <w:i/>
        </w:rPr>
        <w:t xml:space="preserve"> Pickeringia</w:t>
      </w:r>
      <w:r w:rsidR="004B1A2C">
        <w:t xml:space="preserve">. The herb layer is a mix of sparse perennials and many annual grasses </w:t>
      </w:r>
      <w:r w:rsidR="009F078E">
        <w:t>and forbs (O’Geen et al. 2007</w:t>
      </w:r>
      <w:r w:rsidR="004B1A2C">
        <w:t xml:space="preserve">). </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1EA1DCFD" w:rsidR="00792F74" w:rsidRPr="00792F74" w:rsidRDefault="000E656A" w:rsidP="00792F74">
      <w:pPr>
        <w:jc w:val="left"/>
        <w:rPr>
          <w:szCs w:val="24"/>
        </w:rPr>
      </w:pPr>
      <w:r>
        <w:rPr>
          <w:szCs w:val="24"/>
        </w:rPr>
        <w:t xml:space="preserve">This type occurs in the </w:t>
      </w:r>
      <w:r w:rsidR="00792F74" w:rsidRPr="00792F74">
        <w:rPr>
          <w:szCs w:val="24"/>
        </w:rPr>
        <w:t xml:space="preserve">valleys and lower slopes </w:t>
      </w:r>
      <w:r>
        <w:rPr>
          <w:szCs w:val="24"/>
        </w:rPr>
        <w:t xml:space="preserve">of mountainous terrain, </w:t>
      </w:r>
      <w:r w:rsidR="00792F74" w:rsidRPr="00792F74">
        <w:rPr>
          <w:szCs w:val="24"/>
        </w:rPr>
        <w:t>on a variety of parent materials including granitics, metamorphic and Franciscan metasedimentary parent material and deep, well developed soils</w:t>
      </w:r>
      <w:r w:rsidR="0027161C">
        <w:rPr>
          <w:szCs w:val="24"/>
        </w:rPr>
        <w:t>, although rocky soils are also possible</w:t>
      </w:r>
      <w:r w:rsidR="00792F74" w:rsidRPr="00792F74">
        <w:rPr>
          <w:szCs w:val="24"/>
        </w:rPr>
        <w:t xml:space="preserve">. </w:t>
      </w:r>
      <w:r>
        <w:rPr>
          <w:szCs w:val="24"/>
        </w:rPr>
        <w:t xml:space="preserve">Slopes are generally steep and all aspects are included. </w:t>
      </w:r>
      <w:r w:rsidR="00792F74" w:rsidRPr="00792F74">
        <w:rPr>
          <w:szCs w:val="24"/>
        </w:rPr>
        <w:t>In the northern Sierra Nevada the elevational range is</w:t>
      </w:r>
      <w:r>
        <w:rPr>
          <w:szCs w:val="24"/>
        </w:rPr>
        <w:t xml:space="preserve"> 240 to 1800 m (800 to 5000 ft)</w:t>
      </w:r>
      <w:r w:rsidR="00792F74" w:rsidRPr="00792F74">
        <w:rPr>
          <w:szCs w:val="24"/>
        </w:rPr>
        <w:t xml:space="preserve"> (</w:t>
      </w:r>
      <w:r>
        <w:rPr>
          <w:szCs w:val="24"/>
        </w:rPr>
        <w:t>LandFire 2007a, Anderson 1988</w:t>
      </w:r>
      <w:r w:rsidR="00792F74" w:rsidRPr="00792F74">
        <w:rPr>
          <w:szCs w:val="24"/>
        </w:rPr>
        <w:t>)</w:t>
      </w:r>
      <w:r>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273C9162" w:rsidR="0097477C" w:rsidRPr="0097477C" w:rsidRDefault="0097477C" w:rsidP="0097477C">
      <w:pPr>
        <w:jc w:val="left"/>
        <w:rPr>
          <w:szCs w:val="24"/>
        </w:rPr>
      </w:pP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r w:rsidRPr="0097477C">
        <w:rPr>
          <w:szCs w:val="24"/>
        </w:rPr>
        <w:t>mortality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0B7606A" w:rsidR="00286091" w:rsidRDefault="0027161C" w:rsidP="00286091">
      <w:pPr>
        <w:ind w:firstLine="360"/>
        <w:jc w:val="left"/>
        <w:rPr>
          <w:szCs w:val="24"/>
        </w:rPr>
      </w:pPr>
      <w:r>
        <w:rPr>
          <w:szCs w:val="24"/>
        </w:rPr>
        <w:t>OCFW sites</w:t>
      </w:r>
      <w:r w:rsidR="00286091" w:rsidRPr="0097477C">
        <w:rPr>
          <w:szCs w:val="24"/>
        </w:rPr>
        <w:t xml:space="preserve"> </w:t>
      </w:r>
      <w:r w:rsidR="00286091">
        <w:rPr>
          <w:szCs w:val="24"/>
        </w:rPr>
        <w:t xml:space="preserve">are fire-adapted and </w:t>
      </w:r>
      <w:r w:rsidR="003C0704">
        <w:rPr>
          <w:szCs w:val="24"/>
        </w:rPr>
        <w:t xml:space="preserve">had frequent, low </w:t>
      </w:r>
      <w:r w:rsidR="00286091" w:rsidRPr="0097477C">
        <w:rPr>
          <w:szCs w:val="24"/>
        </w:rPr>
        <w:t>severity surface</w:t>
      </w:r>
      <w:r w:rsidR="00286091">
        <w:rPr>
          <w:szCs w:val="24"/>
        </w:rPr>
        <w:t xml:space="preserve"> fires prior to fire exclusion </w:t>
      </w:r>
      <w:r w:rsidR="00286091" w:rsidRPr="0097477C">
        <w:rPr>
          <w:szCs w:val="24"/>
        </w:rPr>
        <w:t xml:space="preserve">in the late nineteenth century. </w:t>
      </w:r>
      <w:r w:rsidR="00286091">
        <w:rPr>
          <w:szCs w:val="24"/>
        </w:rPr>
        <w:t xml:space="preserve">Historically, fire </w:t>
      </w:r>
      <w:r w:rsidR="00286091" w:rsidRPr="0097477C">
        <w:rPr>
          <w:szCs w:val="24"/>
        </w:rPr>
        <w:t>return interval</w:t>
      </w:r>
      <w:r w:rsidR="00286091">
        <w:rPr>
          <w:szCs w:val="24"/>
        </w:rPr>
        <w:t>s</w:t>
      </w:r>
      <w:r w:rsidR="00286091" w:rsidRPr="0097477C">
        <w:rPr>
          <w:szCs w:val="24"/>
        </w:rPr>
        <w:t xml:space="preserve"> </w:t>
      </w:r>
      <w:r w:rsidR="003C0704">
        <w:rPr>
          <w:szCs w:val="24"/>
        </w:rPr>
        <w:t xml:space="preserve">(FRIs) </w:t>
      </w:r>
      <w:r w:rsidR="00286091" w:rsidRPr="0097477C">
        <w:rPr>
          <w:szCs w:val="24"/>
        </w:rPr>
        <w:t xml:space="preserve">in </w:t>
      </w:r>
      <w:r w:rsidR="00286091">
        <w:rPr>
          <w:i/>
          <w:szCs w:val="24"/>
        </w:rPr>
        <w:t>P. ponderosa</w:t>
      </w:r>
      <w:r w:rsidR="00286091" w:rsidRPr="0097477C">
        <w:rPr>
          <w:szCs w:val="24"/>
        </w:rPr>
        <w:t>-</w:t>
      </w:r>
      <w:r w:rsidR="00286091">
        <w:rPr>
          <w:i/>
          <w:szCs w:val="24"/>
        </w:rPr>
        <w:t>Q. kelloggii</w:t>
      </w:r>
      <w:r w:rsidR="00286091" w:rsidRPr="0097477C">
        <w:rPr>
          <w:szCs w:val="24"/>
        </w:rPr>
        <w:t xml:space="preserve"> forests increase</w:t>
      </w:r>
      <w:r w:rsidR="00286091">
        <w:rPr>
          <w:szCs w:val="24"/>
        </w:rPr>
        <w:t>d with increasing ele</w:t>
      </w:r>
      <w:r w:rsidR="00286091" w:rsidRPr="0097477C">
        <w:rPr>
          <w:szCs w:val="24"/>
        </w:rPr>
        <w:t>vation in the Sierra Nevada, with a ten</w:t>
      </w:r>
      <w:r w:rsidR="00286091">
        <w:rPr>
          <w:szCs w:val="24"/>
        </w:rPr>
        <w:t xml:space="preserve">dency towards shorter mean </w:t>
      </w:r>
      <w:r w:rsidR="003C0704">
        <w:rPr>
          <w:szCs w:val="24"/>
        </w:rPr>
        <w:t>FRIs</w:t>
      </w:r>
      <w:r w:rsidR="00286091" w:rsidRPr="0097477C">
        <w:rPr>
          <w:szCs w:val="24"/>
        </w:rPr>
        <w:t xml:space="preserve"> (5-15 years) on dry, west- and south-facing slopes and longer </w:t>
      </w:r>
      <w:r w:rsidR="003C0704">
        <w:rPr>
          <w:szCs w:val="24"/>
        </w:rPr>
        <w:t>FRIs</w:t>
      </w:r>
      <w:r w:rsidR="00286091" w:rsidRPr="0097477C">
        <w:rPr>
          <w:szCs w:val="24"/>
        </w:rPr>
        <w:t xml:space="preserve"> (15-25 years) on mesic, east- and north-facing slopes. Mid</w:t>
      </w:r>
      <w:r w:rsidR="00286091">
        <w:rPr>
          <w:szCs w:val="24"/>
        </w:rPr>
        <w:t>-</w:t>
      </w:r>
      <w:r w:rsidR="00286091" w:rsidRPr="0097477C">
        <w:rPr>
          <w:szCs w:val="24"/>
        </w:rPr>
        <w:t>elevation forests typically had mixed-severity fi</w:t>
      </w:r>
      <w:r w:rsidR="00286091">
        <w:rPr>
          <w:szCs w:val="24"/>
        </w:rPr>
        <w:t>res that created patchy mosaics (Fryer 2007).</w:t>
      </w:r>
    </w:p>
    <w:p w14:paraId="6011A795" w14:textId="26CB43AE"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 xml:space="preserve">included a study on </w:t>
      </w:r>
      <w:r w:rsidR="00FA403A">
        <w:rPr>
          <w:szCs w:val="24"/>
        </w:rPr>
        <w:t>“</w:t>
      </w:r>
      <w:r w:rsidR="003C0704" w:rsidRPr="001275B1">
        <w:rPr>
          <w:szCs w:val="24"/>
        </w:rPr>
        <w:t>Black oak-ponderosa pine</w:t>
      </w:r>
      <w:r w:rsidR="00FA403A">
        <w:rPr>
          <w:szCs w:val="24"/>
        </w:rPr>
        <w:t>”</w:t>
      </w:r>
      <w:r w:rsidR="003C0704" w:rsidRPr="001275B1">
        <w:rPr>
          <w:szCs w:val="24"/>
        </w:rPr>
        <w:t xml:space="preserv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FA403A">
        <w:rPr>
          <w:szCs w:val="24"/>
        </w:rPr>
        <w:t>“</w:t>
      </w:r>
      <w:r w:rsidR="003C0704">
        <w:rPr>
          <w:szCs w:val="24"/>
        </w:rPr>
        <w:t>c</w:t>
      </w:r>
      <w:r w:rsidR="003C0704" w:rsidRPr="001275B1">
        <w:rPr>
          <w:szCs w:val="24"/>
        </w:rPr>
        <w:t>anyon live oak-mixed conifer</w:t>
      </w:r>
      <w:r w:rsidR="00FA403A">
        <w:rPr>
          <w:szCs w:val="24"/>
        </w:rPr>
        <w:t>”</w:t>
      </w:r>
      <w:r w:rsidR="003C0704" w:rsidRPr="001275B1">
        <w:rPr>
          <w:szCs w:val="24"/>
        </w:rPr>
        <w:t xml:space="preserve">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6EBD8935"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rsidR="003304C1">
        <w:t>estimates</w:t>
      </w:r>
      <w:r>
        <w:t xml:space="preserve">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7BB9CBF"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w:t>
      </w:r>
      <w:r w:rsidR="00671BA5">
        <w:rPr>
          <w:bCs/>
        </w:rPr>
        <w:t>2007b</w:t>
      </w:r>
      <w:r w:rsidR="00E57639">
        <w:rPr>
          <w:bCs/>
        </w:rPr>
        <w:t xml:space="preserve">) </w:t>
      </w:r>
      <w:r w:rsidR="0069100D">
        <w:rPr>
          <w:bCs/>
        </w:rPr>
        <w:t>reports</w:t>
      </w:r>
      <w:r w:rsidR="00E57639">
        <w:rPr>
          <w:bCs/>
        </w:rPr>
        <w:t xml:space="preser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w:t>
      </w:r>
      <w:r w:rsidR="00671BA5">
        <w:rPr>
          <w:bCs/>
        </w:rPr>
        <w:t>2007c</w:t>
      </w:r>
      <w:r w:rsidR="007A385C">
        <w:rPr>
          <w:bCs/>
        </w:rPr>
        <w:t>) estimates an overall mean FRI of 14 years. Stand-replacing fire has a mean FRI of 200 years, ranging from 100-300 years. Surface fires have a mean FRI of 15 years, ranging from 10-20 years.</w:t>
      </w:r>
    </w:p>
    <w:p w14:paraId="1E005ECB" w14:textId="59A220EF" w:rsidR="00586FC3" w:rsidRPr="00671BA5" w:rsidRDefault="007A385C" w:rsidP="00671BA5">
      <w:pPr>
        <w:pStyle w:val="ListParagraph"/>
        <w:numPr>
          <w:ilvl w:val="0"/>
          <w:numId w:val="0"/>
        </w:numPr>
        <w:ind w:left="360"/>
      </w:pPr>
      <w:r>
        <w:t xml:space="preserve"> </w:t>
      </w:r>
    </w:p>
    <w:p w14:paraId="5867F217" w14:textId="5C72DE86"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w:t>
      </w:r>
      <w:r w:rsidR="00671BA5">
        <w:rPr>
          <w:sz w:val="22"/>
          <w:szCs w:val="24"/>
        </w:rPr>
        <w:t>2007b</w:t>
      </w:r>
      <w:r w:rsidR="00586FC3" w:rsidRPr="000C3D2B">
        <w:rPr>
          <w:sz w:val="22"/>
          <w:szCs w:val="24"/>
        </w:rPr>
        <w:t>)</w:t>
      </w:r>
      <w:r w:rsidR="0091405C">
        <w:rPr>
          <w:sz w:val="22"/>
          <w:szCs w:val="24"/>
        </w:rPr>
        <w:t xml:space="preserve"> and comments by Estes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671BA5">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671BA5">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671BA5">
        <w:trPr>
          <w:trHeight w:val="300"/>
        </w:trPr>
        <w:tc>
          <w:tcPr>
            <w:tcW w:w="1300" w:type="dxa"/>
            <w:vMerge/>
            <w:tcBorders>
              <w:top w:val="nil"/>
              <w:left w:val="nil"/>
              <w:bottom w:val="single" w:sz="4" w:space="0" w:color="auto"/>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671BA5">
        <w:trPr>
          <w:trHeight w:val="300"/>
        </w:trPr>
        <w:tc>
          <w:tcPr>
            <w:tcW w:w="1300" w:type="dxa"/>
            <w:vMerge/>
            <w:tcBorders>
              <w:top w:val="nil"/>
              <w:left w:val="nil"/>
              <w:bottom w:val="single" w:sz="4" w:space="0" w:color="auto"/>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671BA5">
        <w:trPr>
          <w:trHeight w:val="300"/>
        </w:trPr>
        <w:tc>
          <w:tcPr>
            <w:tcW w:w="1300" w:type="dxa"/>
            <w:vMerge/>
            <w:tcBorders>
              <w:top w:val="nil"/>
              <w:left w:val="nil"/>
              <w:bottom w:val="single" w:sz="4" w:space="0" w:color="auto"/>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62D194D7" w:rsidR="00586FC3" w:rsidRPr="007D4AD1" w:rsidRDefault="0091405C" w:rsidP="00D6111E">
            <w:pPr>
              <w:autoSpaceDE/>
              <w:autoSpaceDN/>
              <w:adjustRightInd/>
              <w:jc w:val="center"/>
              <w:rPr>
                <w:noProof w:val="0"/>
                <w:color w:val="000000"/>
                <w:szCs w:val="24"/>
              </w:rPr>
            </w:pPr>
            <w:r>
              <w:rPr>
                <w:noProof w:val="0"/>
                <w:color w:val="000000"/>
                <w:szCs w:val="24"/>
              </w:rPr>
              <w:t>70</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233F1B0D" w:rsidR="00586FC3" w:rsidRPr="007D4AD1" w:rsidRDefault="0091405C" w:rsidP="005504F4">
            <w:pPr>
              <w:autoSpaceDE/>
              <w:autoSpaceDN/>
              <w:adjustRightInd/>
              <w:jc w:val="center"/>
              <w:rPr>
                <w:noProof w:val="0"/>
                <w:color w:val="000000"/>
                <w:szCs w:val="24"/>
              </w:rPr>
            </w:pPr>
            <w:r>
              <w:rPr>
                <w:noProof w:val="0"/>
                <w:color w:val="000000"/>
                <w:szCs w:val="24"/>
              </w:rPr>
              <w:t>22</w:t>
            </w:r>
          </w:p>
        </w:tc>
      </w:tr>
      <w:tr w:rsidR="00586FC3" w:rsidRPr="00571334" w14:paraId="3DE8410B" w14:textId="77777777" w:rsidTr="00671BA5">
        <w:trPr>
          <w:trHeight w:val="300"/>
        </w:trPr>
        <w:tc>
          <w:tcPr>
            <w:tcW w:w="1300" w:type="dxa"/>
            <w:vMerge/>
            <w:tcBorders>
              <w:top w:val="nil"/>
              <w:left w:val="nil"/>
              <w:bottom w:val="single" w:sz="4" w:space="0" w:color="auto"/>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2E82D73C" w14:textId="68437272" w:rsidR="00586FC3" w:rsidRPr="007D4AD1" w:rsidRDefault="0091405C" w:rsidP="00D6111E">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457F40DD" w14:textId="08D005CD" w:rsidR="00586FC3" w:rsidRPr="007D4AD1" w:rsidRDefault="0091405C" w:rsidP="005504F4">
            <w:pPr>
              <w:autoSpaceDE/>
              <w:autoSpaceDN/>
              <w:adjustRightInd/>
              <w:jc w:val="center"/>
              <w:rPr>
                <w:noProof w:val="0"/>
                <w:color w:val="000000"/>
                <w:szCs w:val="24"/>
              </w:rPr>
            </w:pPr>
            <w:r>
              <w:rPr>
                <w:noProof w:val="0"/>
                <w:color w:val="000000"/>
                <w:szCs w:val="24"/>
              </w:rPr>
              <w:t>78</w:t>
            </w:r>
          </w:p>
        </w:tc>
      </w:tr>
      <w:tr w:rsidR="00586FC3" w:rsidRPr="00571334" w14:paraId="02BFE27F" w14:textId="77777777" w:rsidTr="00671BA5">
        <w:trPr>
          <w:trHeight w:val="300"/>
        </w:trPr>
        <w:tc>
          <w:tcPr>
            <w:tcW w:w="1300" w:type="dxa"/>
            <w:vMerge/>
            <w:tcBorders>
              <w:top w:val="nil"/>
              <w:left w:val="nil"/>
              <w:bottom w:val="single" w:sz="4" w:space="0" w:color="auto"/>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42431DBC" w14:textId="1FB97FD1" w:rsidR="00586FC3" w:rsidRPr="007D4AD1" w:rsidRDefault="0091405C" w:rsidP="00D6111E">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single" w:sz="4" w:space="0" w:color="auto"/>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single" w:sz="4" w:space="0" w:color="auto"/>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328EB520" w14:textId="238E04A0" w:rsidR="003304C1" w:rsidRDefault="002F195F" w:rsidP="003304C1">
      <w:pPr>
        <w:jc w:val="left"/>
      </w:pPr>
      <w:r>
        <w:t xml:space="preserve">We recognize </w:t>
      </w:r>
      <w:r w:rsidR="00671BA5">
        <w:t>four separate condition classes for OCFW: Early Development (ED), Mid Development Open (MDO), Mid Development Closed (MDC</w:t>
      </w:r>
      <w:r w:rsidR="003304C1">
        <w:t>), and Late Development All (LD</w:t>
      </w:r>
      <w:r w:rsidR="00671BA5">
        <w:t xml:space="preserve">). </w:t>
      </w:r>
      <w:r w:rsidR="003304C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036E964D" w14:textId="49252F27" w:rsidR="002F195F" w:rsidRDefault="002F195F" w:rsidP="002F195F">
      <w:pPr>
        <w:jc w:val="left"/>
      </w:pP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6983617D"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w:t>
      </w:r>
      <w:r w:rsidR="00763ED4">
        <w:t>predominantly</w:t>
      </w:r>
      <w:r w:rsidR="00CA1698" w:rsidRPr="00CA1698">
        <w:t xml:space="preserve"> </w:t>
      </w:r>
      <w:r w:rsidR="00CA1698" w:rsidRPr="00CA1698">
        <w:rPr>
          <w:i/>
        </w:rPr>
        <w:t>Q</w:t>
      </w:r>
      <w:r w:rsidR="00CA1698">
        <w:rPr>
          <w:i/>
        </w:rPr>
        <w:t>.</w:t>
      </w:r>
      <w:r w:rsidR="00CA1698" w:rsidRPr="00CA1698">
        <w:rPr>
          <w:i/>
        </w:rPr>
        <w:t xml:space="preserve"> kelloggi</w:t>
      </w:r>
      <w:r w:rsidR="00763ED4">
        <w:t>, but potentially also</w:t>
      </w:r>
      <w:r w:rsidR="00CA1698" w:rsidRPr="00CA1698">
        <w:t xml:space="preserve">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w:t>
      </w:r>
      <w:r w:rsidR="00485C54">
        <w:t>may also include</w:t>
      </w:r>
      <w:r w:rsidR="00CA1698" w:rsidRPr="00CA1698">
        <w:t xml:space="preserve"> </w:t>
      </w:r>
      <w:r w:rsidR="00CA1698">
        <w:t xml:space="preserve">conifer </w:t>
      </w:r>
      <w:r w:rsidR="00CA1698" w:rsidRPr="00CA1698">
        <w:t>seedling/saplings (</w:t>
      </w:r>
      <w:r w:rsidR="008D5063">
        <w:t>LandFire 2007a</w:t>
      </w:r>
      <w:r w:rsidR="00CA1698" w:rsidRPr="00CA1698">
        <w:t>)</w:t>
      </w:r>
      <w:r w:rsidR="008D5063">
        <w:t>.</w:t>
      </w:r>
    </w:p>
    <w:p w14:paraId="54664CE0" w14:textId="73939683" w:rsidR="008D5063" w:rsidRDefault="008D5063" w:rsidP="008D5063">
      <w:pPr>
        <w:ind w:firstLine="360"/>
        <w:jc w:val="left"/>
      </w:pPr>
      <w:r w:rsidRPr="008D5063">
        <w:t xml:space="preserve">On sites or areas that are dry or of low quality, significant pine regeneration may depend on concurrent disturbance of </w:t>
      </w:r>
      <w:r w:rsidR="00485C54">
        <w:t>shrub species</w:t>
      </w:r>
      <w:r w:rsidRPr="008D5063">
        <w:t xml:space="preserve"> and a good pine seed crop with favorable weather. Thus, it may require 50-100 years for significant pine regeneration in the absence of intervention.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046E33D9" w:rsidR="00737FBB" w:rsidRDefault="00737FBB" w:rsidP="00737FBB">
      <w:pPr>
        <w:jc w:val="left"/>
      </w:pPr>
    </w:p>
    <w:p w14:paraId="0133042D" w14:textId="12C7C7A1" w:rsidR="00737FBB" w:rsidRDefault="00E801D2" w:rsidP="00737FBB">
      <w:pPr>
        <w:jc w:val="left"/>
      </w:pPr>
      <w:r>
        <w:drawing>
          <wp:anchor distT="0" distB="0" distL="114300" distR="114300" simplePos="0" relativeHeight="251663360" behindDoc="0" locked="0" layoutInCell="1" allowOverlap="1" wp14:anchorId="332FEDEF" wp14:editId="62A83A59">
            <wp:simplePos x="0" y="0"/>
            <wp:positionH relativeFrom="column">
              <wp:posOffset>3007360</wp:posOffset>
            </wp:positionH>
            <wp:positionV relativeFrom="paragraph">
              <wp:posOffset>41910</wp:posOffset>
            </wp:positionV>
            <wp:extent cx="2926715"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ED.png"/>
                    <pic:cNvPicPr/>
                  </pic:nvPicPr>
                  <pic:blipFill rotWithShape="1">
                    <a:blip r:embed="rId8">
                      <a:extLst>
                        <a:ext uri="{28A0092B-C50C-407E-A947-70E740481C1C}">
                          <a14:useLocalDpi xmlns:a14="http://schemas.microsoft.com/office/drawing/2010/main" val="0"/>
                        </a:ext>
                      </a:extLst>
                    </a:blip>
                    <a:srcRect l="4445" t="5699" r="735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w:t>
      </w:r>
      <w:r w:rsidR="00485C54">
        <w:t>4</w:t>
      </w:r>
      <w:r w:rsidR="004E6E75">
        <w:t xml:space="preserve"> and to MDC is 0.</w:t>
      </w:r>
      <w:r w:rsidR="00485C54">
        <w:t>6</w:t>
      </w:r>
      <w:r w:rsidR="004E6E75">
        <w:t>.</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960CF25"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r w:rsidR="00BB39F6">
        <w:t xml:space="preserve"> (LandFire 2007a)</w:t>
      </w:r>
      <w:r w:rsidRPr="004E6E75">
        <w:t>.</w:t>
      </w:r>
    </w:p>
    <w:p w14:paraId="52450C8C" w14:textId="3BEF9064" w:rsidR="004E6E75" w:rsidRPr="004E6E75" w:rsidRDefault="004E6E75" w:rsidP="004E6E75">
      <w:pPr>
        <w:jc w:val="left"/>
      </w:pPr>
    </w:p>
    <w:p w14:paraId="0BD483EC" w14:textId="5F8523FA" w:rsidR="004E6E75" w:rsidRDefault="00E801D2" w:rsidP="004E6E75">
      <w:pPr>
        <w:jc w:val="left"/>
      </w:pPr>
      <w:r>
        <w:rPr>
          <w:rFonts w:ascii="Times" w:eastAsiaTheme="minorEastAsia" w:hAnsi="Times" w:cs="Times"/>
          <w:sz w:val="26"/>
          <w:szCs w:val="26"/>
        </w:rPr>
        <w:drawing>
          <wp:anchor distT="0" distB="0" distL="114300" distR="114300" simplePos="0" relativeHeight="251664384" behindDoc="0" locked="0" layoutInCell="1" allowOverlap="1" wp14:anchorId="3DD29D55" wp14:editId="0F0821BE">
            <wp:simplePos x="0" y="0"/>
            <wp:positionH relativeFrom="column">
              <wp:posOffset>3027680</wp:posOffset>
            </wp:positionH>
            <wp:positionV relativeFrom="paragraph">
              <wp:posOffset>24130</wp:posOffset>
            </wp:positionV>
            <wp:extent cx="290068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9">
                      <a:extLst>
                        <a:ext uri="{28A0092B-C50C-407E-A947-70E740481C1C}">
                          <a14:useLocalDpi xmlns:a14="http://schemas.microsoft.com/office/drawing/2010/main" val="0"/>
                        </a:ext>
                      </a:extLst>
                    </a:blip>
                    <a:srcRect l="4445" t="5244" r="7692" b="2435"/>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763ED4">
        <w:t>, succession to LD</w:t>
      </w:r>
      <w:r w:rsidR="00931DBE">
        <w:t xml:space="preserve">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BA6F053"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w:t>
      </w:r>
      <w:r w:rsidR="00763ED4">
        <w:t>ent condition, succession to LD</w:t>
      </w:r>
      <w:r w:rsidR="00B505B5">
        <w:t xml:space="preserve">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6CDF0550"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w:t>
      </w:r>
      <w:r w:rsidR="00763ED4">
        <w:rPr>
          <w:rFonts w:eastAsiaTheme="minorEastAsia"/>
          <w:lang w:eastAsia="ja-JP"/>
        </w:rPr>
        <w:t>15</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763ED4">
        <w:rPr>
          <w:rFonts w:eastAsiaTheme="minorEastAsia"/>
          <w:lang w:eastAsia="ja-JP"/>
        </w:rPr>
        <w:t>ED</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w:t>
      </w:r>
      <w:r w:rsidR="00763ED4">
        <w:rPr>
          <w:rFonts w:eastAsiaTheme="minorEastAsia"/>
          <w:lang w:eastAsia="ja-JP"/>
        </w:rPr>
        <w:t>85</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0C1790D7" w:rsidR="004E6E75" w:rsidRPr="004E6E75" w:rsidRDefault="004E6E75" w:rsidP="004E6E75">
      <w:pPr>
        <w:jc w:val="left"/>
      </w:pPr>
      <w:r w:rsidRPr="004E6E75">
        <w:rPr>
          <w:b/>
        </w:rPr>
        <w:t>Description</w:t>
      </w:r>
      <w:r w:rsidRPr="004E6E75">
        <w:rPr>
          <w:b/>
        </w:rPr>
        <w:tab/>
      </w:r>
      <w:r w:rsidRPr="004E6E75">
        <w:t xml:space="preserve">The mid-seral, closed </w:t>
      </w:r>
      <w:r w:rsidR="0055648A">
        <w:t>condition class</w:t>
      </w:r>
      <w:r w:rsidRPr="004E6E75">
        <w:t xml:space="preserve"> </w:t>
      </w:r>
      <w:r w:rsidR="00884C0A">
        <w:t>is representative of</w:t>
      </w:r>
      <w:r w:rsidRPr="004E6E75">
        <w:t xml:space="preserve"> the more mesic end of the environmental gradient and supports a dense canopy of oak and </w:t>
      </w:r>
      <w:r>
        <w:rPr>
          <w:i/>
        </w:rPr>
        <w:t>P. ponderosa</w:t>
      </w:r>
      <w:r w:rsidRPr="004E6E75">
        <w:t xml:space="preserve"> and/or </w:t>
      </w:r>
      <w:r>
        <w:rPr>
          <w:i/>
        </w:rPr>
        <w:t xml:space="preserve">P. </w:t>
      </w:r>
      <w:r w:rsidR="00850113">
        <w:rPr>
          <w:i/>
          <w:szCs w:val="24"/>
        </w:rPr>
        <w:t>jeffreyi</w:t>
      </w:r>
      <w:r w:rsidR="00850113">
        <w:rPr>
          <w:szCs w:val="24"/>
        </w:rPr>
        <w:t xml:space="preserve">. Occasional </w:t>
      </w:r>
      <w:r w:rsidR="00850113">
        <w:rPr>
          <w:i/>
          <w:szCs w:val="24"/>
        </w:rPr>
        <w:t>P. menziesii</w:t>
      </w:r>
      <w:r w:rsidR="00850113">
        <w:rPr>
          <w:szCs w:val="24"/>
        </w:rPr>
        <w:t xml:space="preserve"> may occur</w:t>
      </w:r>
      <w:r w:rsidRPr="004E6E75">
        <w:t>. Oaks are pole to medium</w:t>
      </w:r>
      <w:r w:rsidRPr="004E6E75">
        <w:rPr>
          <w:rFonts w:ascii="Times" w:eastAsiaTheme="minorEastAsia" w:hAnsi="Times" w:cs="Times"/>
          <w:noProof w:val="0"/>
          <w:sz w:val="26"/>
          <w:szCs w:val="26"/>
          <w:lang w:eastAsia="ja-JP"/>
        </w:rPr>
        <w:t xml:space="preserve"> </w:t>
      </w:r>
      <w:r w:rsidRPr="004E6E75">
        <w:t>size</w:t>
      </w:r>
      <w:r w:rsidR="0055648A">
        <w:t>d</w:t>
      </w:r>
      <w:r w:rsidRPr="004E6E75">
        <w:t xml:space="preserve"> with crown closure approaching 70%. Conifers are generally medium to large, depending on stand age. Overall canopy cover is </w:t>
      </w:r>
      <w:r w:rsidR="00A24ADA">
        <w:t xml:space="preserve">at least </w:t>
      </w:r>
      <w:r w:rsidRPr="004E6E75">
        <w:t xml:space="preserve">50%. Sod-forming grasses and shade-tolerant shrubs will be prominent on the majority of sites. Species from more arid sites may be remnants of earlier, more open post-fire communities. This </w:t>
      </w:r>
      <w:r w:rsidR="0055648A">
        <w:t>condition</w:t>
      </w:r>
      <w:r w:rsidRPr="004E6E75">
        <w:t xml:space="preserve"> is distinguished from MD</w:t>
      </w:r>
      <w:r w:rsidR="008D023F">
        <w:t>O</w:t>
      </w:r>
      <w:r w:rsidRPr="004E6E75">
        <w:t xml:space="preserve"> primarily by its support of greater numbers of conifer species</w:t>
      </w:r>
      <w:r w:rsidR="00BB39F6">
        <w:t xml:space="preserve"> (LandFire 2007a)</w:t>
      </w:r>
      <w:r w:rsidRPr="004E6E75">
        <w:t>.</w:t>
      </w:r>
    </w:p>
    <w:p w14:paraId="27B880AC" w14:textId="6AD9A0F9" w:rsidR="004E6E75" w:rsidRPr="004E6E75" w:rsidRDefault="004E6E75" w:rsidP="004E6E75">
      <w:pPr>
        <w:jc w:val="left"/>
      </w:pPr>
    </w:p>
    <w:p w14:paraId="6C2D0353" w14:textId="266E730B"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1A661F">
        <w:t xml:space="preserve">stand-replacing </w:t>
      </w:r>
      <w:r w:rsidR="008D023F">
        <w:t xml:space="preserve">disturbance, this </w:t>
      </w:r>
      <w:r w:rsidR="00A21CE8">
        <w:t>condition</w:t>
      </w:r>
      <w:r w:rsidR="00850113">
        <w:t xml:space="preserve"> will begin transitioning to LD</w:t>
      </w:r>
      <w:r w:rsidR="001A661F">
        <w:t xml:space="preserve"> after 80 years in an MD </w:t>
      </w:r>
      <w:r w:rsidR="0055648A">
        <w:t>condition class</w:t>
      </w:r>
      <w:r w:rsidR="006F6E00">
        <w:t xml:space="preserve"> at a rate of 0.4 per time step. </w:t>
      </w:r>
      <w:r w:rsidR="00931DBE">
        <w:t xml:space="preserve">After 150 years, </w:t>
      </w:r>
      <w:r w:rsidR="006F6E00">
        <w:t xml:space="preserve">all </w:t>
      </w:r>
      <w:r w:rsidR="00850113">
        <w:t>remaining patches succeed to LD</w:t>
      </w:r>
      <w:r w:rsidR="00931DBE">
        <w:t>.</w:t>
      </w:r>
    </w:p>
    <w:p w14:paraId="08E3BC10" w14:textId="77777777" w:rsidR="004627F6" w:rsidRDefault="004627F6" w:rsidP="004E6E75">
      <w:pPr>
        <w:jc w:val="left"/>
      </w:pPr>
    </w:p>
    <w:p w14:paraId="3BF881CC" w14:textId="764042A3"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w:t>
      </w:r>
      <w:r w:rsidR="001A661F">
        <w:t xml:space="preserve">stand-replacing </w:t>
      </w:r>
      <w:r w:rsidRPr="006F682A">
        <w:t xml:space="preserve">disturbance, this </w:t>
      </w:r>
      <w:r w:rsidR="00A21CE8">
        <w:t>condition</w:t>
      </w:r>
      <w:r w:rsidRPr="006F682A">
        <w:t xml:space="preserve"> will beg</w:t>
      </w:r>
      <w:r w:rsidR="00850113">
        <w:t>in transitioning to LD</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4141FE24" w:rsidR="004E6E75" w:rsidRDefault="004E6E75" w:rsidP="004E6E75">
      <w:pPr>
        <w:jc w:val="left"/>
        <w:rPr>
          <w:rFonts w:eastAsiaTheme="minorEastAsia"/>
          <w:b/>
          <w:lang w:eastAsia="ja-JP"/>
        </w:rPr>
      </w:pPr>
    </w:p>
    <w:p w14:paraId="1E9B216F" w14:textId="466BF487" w:rsidR="004E6E75" w:rsidRDefault="00763ED4" w:rsidP="004E6E75">
      <w:pPr>
        <w:jc w:val="left"/>
        <w:rPr>
          <w:rFonts w:eastAsiaTheme="minorEastAsia"/>
          <w:lang w:eastAsia="ja-JP"/>
        </w:rPr>
      </w:pPr>
      <w:r>
        <w:drawing>
          <wp:anchor distT="0" distB="0" distL="114300" distR="114300" simplePos="0" relativeHeight="251665408" behindDoc="0" locked="0" layoutInCell="1" allowOverlap="1" wp14:anchorId="56D6A6E7" wp14:editId="0498AEB8">
            <wp:simplePos x="0" y="0"/>
            <wp:positionH relativeFrom="column">
              <wp:posOffset>3027680</wp:posOffset>
            </wp:positionH>
            <wp:positionV relativeFrom="paragraph">
              <wp:posOffset>52070</wp:posOffset>
            </wp:positionV>
            <wp:extent cx="289687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0">
                      <a:extLst>
                        <a:ext uri="{28A0092B-C50C-407E-A947-70E740481C1C}">
                          <a14:useLocalDpi xmlns:a14="http://schemas.microsoft.com/office/drawing/2010/main" val="0"/>
                        </a:ext>
                      </a:extLst>
                    </a:blip>
                    <a:srcRect l="4615" t="5472" r="7863" b="2436"/>
                    <a:stretch/>
                  </pic:blipFill>
                  <pic:spPr bwMode="auto">
                    <a:xfrm>
                      <a:off x="0" y="0"/>
                      <a:ext cx="28968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rFonts w:eastAsiaTheme="minorEastAsia"/>
          <w:b/>
          <w:lang w:eastAsia="ja-JP"/>
        </w:rPr>
        <w:t>Wildfire Transition</w:t>
      </w:r>
      <w:r w:rsidR="004E6E75" w:rsidRPr="004E6E75">
        <w:rPr>
          <w:rFonts w:eastAsiaTheme="minorEastAsia"/>
          <w:lang w:eastAsia="ja-JP"/>
        </w:rPr>
        <w:t xml:space="preserve"> </w:t>
      </w:r>
      <w:r w:rsidR="004E6E75">
        <w:rPr>
          <w:rFonts w:eastAsiaTheme="minorEastAsia"/>
          <w:lang w:eastAsia="ja-JP"/>
        </w:rPr>
        <w:tab/>
        <w:t>Hi</w:t>
      </w:r>
      <w:r w:rsidR="00757074">
        <w:rPr>
          <w:rFonts w:eastAsiaTheme="minorEastAsia"/>
          <w:lang w:eastAsia="ja-JP"/>
        </w:rPr>
        <w:t>gh mortality wildfire (</w:t>
      </w:r>
      <w:r w:rsidR="001B7AAC">
        <w:rPr>
          <w:rFonts w:eastAsiaTheme="minorEastAsia"/>
          <w:lang w:eastAsia="ja-JP"/>
        </w:rPr>
        <w:t>15</w:t>
      </w:r>
      <w:r w:rsidR="004E6E75" w:rsidRPr="004E6E75">
        <w:rPr>
          <w:rFonts w:eastAsiaTheme="minorEastAsia"/>
          <w:lang w:eastAsia="ja-JP"/>
        </w:rPr>
        <w:t xml:space="preserve">% </w:t>
      </w:r>
      <w:r w:rsidR="00E5230A">
        <w:rPr>
          <w:rFonts w:eastAsiaTheme="minorEastAsia"/>
          <w:lang w:eastAsia="ja-JP"/>
        </w:rPr>
        <w:t>of fires in this condition)</w:t>
      </w:r>
      <w:r w:rsidR="004E6E75" w:rsidRPr="004E6E75">
        <w:rPr>
          <w:rFonts w:eastAsiaTheme="minorEastAsia"/>
          <w:lang w:eastAsia="ja-JP"/>
        </w:rPr>
        <w:t xml:space="preserve"> recycles the</w:t>
      </w:r>
      <w:r w:rsidR="00A24ADA">
        <w:rPr>
          <w:rFonts w:eastAsiaTheme="minorEastAsia"/>
          <w:lang w:eastAsia="ja-JP"/>
        </w:rPr>
        <w:t xml:space="preserve"> patch through the </w:t>
      </w:r>
      <w:r w:rsidR="001B7AAC">
        <w:rPr>
          <w:rFonts w:eastAsiaTheme="minorEastAsia"/>
          <w:lang w:eastAsia="ja-JP"/>
        </w:rPr>
        <w:t>ED</w:t>
      </w:r>
      <w:r w:rsidR="004E6E75"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w:t>
      </w:r>
      <w:r w:rsidR="001B7AAC">
        <w:rPr>
          <w:rFonts w:eastAsiaTheme="minorEastAsia"/>
          <w:lang w:eastAsia="ja-JP"/>
        </w:rPr>
        <w:t>85</w:t>
      </w:r>
      <w:r w:rsidR="004E6E75" w:rsidRPr="004E6E75">
        <w:rPr>
          <w:rFonts w:eastAsiaTheme="minorEastAsia"/>
          <w:lang w:eastAsia="ja-JP"/>
        </w:rPr>
        <w:t xml:space="preserve">%) triggers a transition to MDO </w:t>
      </w:r>
      <w:r w:rsidR="00490ADA">
        <w:rPr>
          <w:rFonts w:eastAsiaTheme="minorEastAsia"/>
          <w:lang w:eastAsia="ja-JP"/>
        </w:rPr>
        <w:t>13.3</w:t>
      </w:r>
      <w:bookmarkStart w:id="0" w:name="_GoBack"/>
      <w:bookmarkEnd w:id="0"/>
      <w:r w:rsidR="004E6E75" w:rsidRPr="004E6E75">
        <w:rPr>
          <w:rFonts w:eastAsiaTheme="minorEastAsia"/>
          <w:lang w:eastAsia="ja-JP"/>
        </w:rPr>
        <w:t>% of the time; otherwise the patch remains in MDC.</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566AD719" w:rsidR="00C31A49" w:rsidRPr="006F682A" w:rsidRDefault="00C31A49" w:rsidP="00C31A49">
      <w:pPr>
        <w:pStyle w:val="Heading3"/>
        <w:keepNext w:val="0"/>
        <w:widowControl/>
        <w:spacing w:before="0" w:after="0"/>
        <w:rPr>
          <w:sz w:val="28"/>
          <w:szCs w:val="24"/>
        </w:rPr>
      </w:pPr>
      <w:r>
        <w:rPr>
          <w:sz w:val="28"/>
          <w:szCs w:val="24"/>
        </w:rPr>
        <w:t>Late</w:t>
      </w:r>
      <w:r w:rsidR="001B7AAC">
        <w:rPr>
          <w:sz w:val="28"/>
          <w:szCs w:val="24"/>
        </w:rPr>
        <w:t xml:space="preserve"> Development</w:t>
      </w:r>
      <w:r>
        <w:rPr>
          <w:sz w:val="28"/>
          <w:szCs w:val="24"/>
        </w:rPr>
        <w:t xml:space="preserve"> (</w:t>
      </w:r>
      <w:r w:rsidR="001B7AAC">
        <w:rPr>
          <w:sz w:val="28"/>
          <w:szCs w:val="24"/>
        </w:rPr>
        <w:t>LD</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46F76378" w:rsidR="00C31A49" w:rsidRPr="008D023F" w:rsidRDefault="00C31A49" w:rsidP="00C31A49">
      <w:pPr>
        <w:jc w:val="left"/>
      </w:pPr>
      <w:r w:rsidRPr="004E6E75">
        <w:rPr>
          <w:b/>
        </w:rPr>
        <w:t>Description</w:t>
      </w:r>
      <w:r w:rsidRPr="004E6E75">
        <w:rPr>
          <w:b/>
        </w:rPr>
        <w:tab/>
      </w:r>
      <w:r>
        <w:t>The late-seral condition</w:t>
      </w:r>
      <w:r w:rsidR="008D023F">
        <w:t xml:space="preserve"> occurs when</w:t>
      </w:r>
      <w:r w:rsidR="001B7AAC">
        <w:t xml:space="preserve"> stand-replacing</w:t>
      </w:r>
      <w:r w:rsidR="008D023F">
        <w:t xml:space="preserve">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BB39F6">
        <w:t xml:space="preserve"> (LandFire 2007a)</w:t>
      </w:r>
      <w:r w:rsidR="00A24ADA">
        <w:t>.</w:t>
      </w:r>
      <w:r w:rsidR="008D023F">
        <w:t xml:space="preserve"> </w:t>
      </w:r>
      <w:r w:rsidR="00BB39F6">
        <w:t>In gene</w:t>
      </w:r>
      <w:r w:rsidR="001B7AAC">
        <w:t>ral, sites that have reached LD</w:t>
      </w:r>
      <w:r w:rsidR="00BB39F6">
        <w:t xml:space="preserve"> are relatively open (Estes 2013).</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5194763A"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w:t>
      </w:r>
      <w:r w:rsidR="001B7AAC">
        <w:rPr>
          <w:rFonts w:eastAsiaTheme="minorEastAsia"/>
          <w:lang w:eastAsia="ja-JP"/>
        </w:rPr>
        <w:t>1</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w:t>
      </w:r>
      <w:r w:rsidR="001B7AAC">
        <w:rPr>
          <w:rFonts w:eastAsiaTheme="minorEastAsia"/>
          <w:lang w:eastAsia="ja-JP"/>
        </w:rPr>
        <w:t>ED</w:t>
      </w:r>
      <w:r w:rsidR="00AF5D2B">
        <w:rPr>
          <w:rFonts w:eastAsiaTheme="minorEastAsia"/>
          <w:lang w:eastAsia="ja-JP"/>
        </w:rPr>
        <w:t xml:space="preserve"> </w:t>
      </w:r>
      <w:r w:rsidR="0055648A">
        <w:rPr>
          <w:rFonts w:eastAsiaTheme="minorEastAsia"/>
          <w:lang w:eastAsia="ja-JP"/>
        </w:rPr>
        <w:t>condition</w:t>
      </w:r>
      <w:r w:rsidR="00003388">
        <w:rPr>
          <w:rFonts w:eastAsiaTheme="minorEastAsia"/>
          <w:lang w:eastAsia="ja-JP"/>
        </w:rPr>
        <w:t>. Low mortality wildfire (</w:t>
      </w:r>
      <w:r w:rsidR="001B7AAC">
        <w:rPr>
          <w:rFonts w:eastAsiaTheme="minorEastAsia"/>
          <w:lang w:eastAsia="ja-JP"/>
        </w:rPr>
        <w:t>8</w:t>
      </w:r>
      <w:r w:rsidR="00003388">
        <w:rPr>
          <w:rFonts w:eastAsiaTheme="minorEastAsia"/>
          <w:lang w:eastAsia="ja-JP"/>
        </w:rPr>
        <w:t>5</w:t>
      </w:r>
      <w:r w:rsidR="001B7AAC">
        <w:rPr>
          <w:rFonts w:eastAsiaTheme="minorEastAsia"/>
          <w:lang w:eastAsia="ja-JP"/>
        </w:rPr>
        <w:t>%) maintains the patch in LD</w:t>
      </w:r>
      <w:r w:rsidR="00AF5D2B">
        <w:rPr>
          <w:rFonts w:eastAsiaTheme="minorEastAsia"/>
          <w:lang w:eastAsia="ja-JP"/>
        </w:rPr>
        <w:t>.</w:t>
      </w:r>
    </w:p>
    <w:p w14:paraId="5CA911D2" w14:textId="77777777" w:rsidR="00003388" w:rsidRDefault="00003388" w:rsidP="00003388">
      <w:pPr>
        <w:jc w:val="left"/>
        <w:rPr>
          <w:rFonts w:eastAsiaTheme="minorEastAsia"/>
          <w:lang w:eastAsia="ja-JP"/>
        </w:rPr>
      </w:pPr>
    </w:p>
    <w:p w14:paraId="5A5A7E38" w14:textId="116AA14F"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sidR="001B7AAC">
        <w:rPr>
          <w:rFonts w:eastAsiaTheme="minorEastAsia"/>
          <w:lang w:eastAsia="ja-JP"/>
        </w:rPr>
        <w:t xml:space="preserve"> patch through the ED</w:t>
      </w:r>
      <w:r w:rsidRPr="004E6E75">
        <w:rPr>
          <w:rFonts w:eastAsiaTheme="minorEastAsia"/>
          <w:lang w:eastAsia="ja-JP"/>
        </w:rPr>
        <w:t xml:space="preserve"> </w:t>
      </w:r>
      <w:r>
        <w:rPr>
          <w:rFonts w:eastAsiaTheme="minorEastAsia"/>
          <w:lang w:eastAsia="ja-JP"/>
        </w:rPr>
        <w:t xml:space="preserve">condition. Low mortality wildfire </w:t>
      </w:r>
      <w:r w:rsidR="001B7AAC">
        <w:rPr>
          <w:rFonts w:eastAsiaTheme="minorEastAsia"/>
          <w:lang w:eastAsia="ja-JP"/>
        </w:rPr>
        <w:t>(95%) maintains the patch in LD</w:t>
      </w:r>
      <w:r>
        <w:rPr>
          <w:rFonts w:eastAsiaTheme="minorEastAsia"/>
          <w:lang w:eastAsia="ja-JP"/>
        </w:rPr>
        <w:t>.</w:t>
      </w:r>
    </w:p>
    <w:p w14:paraId="7F90FFD8" w14:textId="77777777" w:rsidR="004627F6" w:rsidRPr="004E6E75" w:rsidRDefault="004627F6" w:rsidP="00C31A49">
      <w:pPr>
        <w:pBdr>
          <w:bottom w:val="double" w:sz="6" w:space="1" w:color="auto"/>
        </w:pBdr>
        <w:jc w:val="left"/>
        <w:rPr>
          <w:rFonts w:eastAsiaTheme="minorEastAsia"/>
          <w:lang w:eastAsia="ja-JP"/>
        </w:rPr>
      </w:pPr>
    </w:p>
    <w:p w14:paraId="088D7D05" w14:textId="77777777" w:rsidR="00671BA5" w:rsidRDefault="00671BA5" w:rsidP="002D3552">
      <w:pPr>
        <w:autoSpaceDE/>
        <w:autoSpaceDN/>
        <w:adjustRightInd/>
        <w:jc w:val="left"/>
        <w:rPr>
          <w:b/>
          <w:bCs/>
          <w:sz w:val="32"/>
          <w:szCs w:val="24"/>
        </w:rPr>
      </w:pPr>
    </w:p>
    <w:p w14:paraId="45F50C49" w14:textId="77777777" w:rsidR="00E801D2" w:rsidRDefault="00E801D2">
      <w:pPr>
        <w:autoSpaceDE/>
        <w:autoSpaceDN/>
        <w:adjustRightInd/>
        <w:jc w:val="left"/>
        <w:rPr>
          <w:b/>
          <w:sz w:val="32"/>
        </w:rPr>
      </w:pPr>
      <w:r>
        <w:rPr>
          <w:b/>
          <w:sz w:val="32"/>
        </w:rPr>
        <w:br w:type="page"/>
      </w:r>
    </w:p>
    <w:p w14:paraId="4304BE09" w14:textId="351D73ED"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49476F8B" w:rsidR="0027250E" w:rsidRPr="006F682A" w:rsidRDefault="00BB39F6" w:rsidP="002D3552">
            <w:pPr>
              <w:jc w:val="left"/>
              <w:rPr>
                <w:szCs w:val="24"/>
              </w:rPr>
            </w:pPr>
            <w:r>
              <w:rPr>
                <w:szCs w:val="24"/>
              </w:rPr>
              <w:t>3</w:t>
            </w:r>
            <w:r w:rsidR="0027250E"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0FF6321A" w:rsidR="0027250E" w:rsidRPr="006F682A" w:rsidRDefault="00BB39F6" w:rsidP="002D3552">
            <w:pPr>
              <w:jc w:val="left"/>
              <w:rPr>
                <w:szCs w:val="24"/>
              </w:rPr>
            </w:pPr>
            <w:r>
              <w:rPr>
                <w:szCs w:val="24"/>
              </w:rPr>
              <w:t>3</w:t>
            </w:r>
            <w:r w:rsidR="0027250E"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2AD7F7AC" w:rsidR="008858CC" w:rsidRPr="00C94B8C" w:rsidRDefault="008967BA" w:rsidP="00C94B8C">
      <w:pPr>
        <w:jc w:val="left"/>
      </w:pPr>
      <w:r>
        <w:rPr>
          <w:szCs w:val="24"/>
        </w:rPr>
        <w:t>(S</w:t>
      </w:r>
      <w:r>
        <w:t xml:space="preserve">ee PDF) </w:t>
      </w:r>
      <w:r w:rsidRPr="006F682A">
        <w:t xml:space="preserve">Disturbance-Succession model for </w:t>
      </w:r>
      <w:r w:rsidR="00141E57">
        <w:t>OCFW</w:t>
      </w:r>
      <w:r w:rsidR="00671BA5">
        <w:t>.</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2EE0D989" w14:textId="2A1EEBAF" w:rsidR="008858CC" w:rsidRDefault="008858CC" w:rsidP="000D1DEF">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0732F732" w14:textId="77777777" w:rsidR="00BB39F6" w:rsidRDefault="00BB39F6" w:rsidP="00D74601">
      <w:pPr>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Estes, Becky L. Personal communication, 21 June 2013.</w:t>
      </w:r>
    </w:p>
    <w:p w14:paraId="6CEEB751" w14:textId="4941F2C9"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7040BA90"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671BA5">
        <w:rPr>
          <w:noProof w:val="0"/>
          <w:color w:val="000000"/>
          <w:szCs w:val="24"/>
          <w:shd w:val="clear" w:color="auto" w:fill="FFFFFF"/>
        </w:rPr>
        <w:t>“</w:t>
      </w:r>
      <w:r w:rsidR="00D06FF8" w:rsidRPr="00671BA5">
        <w:rPr>
          <w:noProof w:val="0"/>
          <w:color w:val="000000"/>
          <w:szCs w:val="24"/>
          <w:shd w:val="clear" w:color="auto" w:fill="FFFFFF"/>
        </w:rPr>
        <w:t>Quercus kelloggii</w:t>
      </w:r>
      <w:r w:rsidR="00C56A89">
        <w:rPr>
          <w:noProof w:val="0"/>
          <w:color w:val="000000"/>
          <w:szCs w:val="24"/>
          <w:shd w:val="clear" w:color="auto" w:fill="FFFFFF"/>
        </w:rPr>
        <w:t>.</w:t>
      </w:r>
      <w:r w:rsidR="00671BA5">
        <w:rPr>
          <w:noProof w:val="0"/>
          <w:color w:val="000000"/>
          <w:szCs w:val="24"/>
          <w:shd w:val="clear" w:color="auto" w:fill="FFFFFF"/>
        </w:rPr>
        <w:t>”</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4204D080" w14:textId="74F60B8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2007</w:t>
      </w:r>
      <w:r w:rsidR="00671BA5">
        <w:rPr>
          <w:bCs/>
        </w:rPr>
        <w:t>b</w:t>
      </w:r>
      <w:r>
        <w:rPr>
          <w:bCs/>
        </w:rPr>
        <w:t xml:space="preserve">.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F059C0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2007</w:t>
      </w:r>
      <w:r w:rsidR="00671BA5">
        <w:rPr>
          <w:bCs/>
        </w:rPr>
        <w:t>c</w:t>
      </w:r>
      <w:r>
        <w:rPr>
          <w:bCs/>
        </w:rPr>
        <w:t xml:space="preserve">.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0EB96A6D" w14:textId="653F5790" w:rsidR="008858CC" w:rsidRPr="00671BA5" w:rsidRDefault="00D74601" w:rsidP="00671BA5">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sectPr w:rsidR="008858CC" w:rsidRPr="00671BA5" w:rsidSect="00F843FD">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490ADA" w:rsidRDefault="00490ADA" w:rsidP="0097477C">
      <w:r>
        <w:separator/>
      </w:r>
    </w:p>
  </w:endnote>
  <w:endnote w:type="continuationSeparator" w:id="0">
    <w:p w14:paraId="7F374525" w14:textId="77777777" w:rsidR="00490ADA" w:rsidRDefault="00490ADA"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490ADA" w:rsidRDefault="00490ADA"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490ADA" w:rsidRDefault="00490A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490ADA" w:rsidRDefault="00490ADA"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678C">
      <w:rPr>
        <w:rStyle w:val="PageNumber"/>
      </w:rPr>
      <w:t>1</w:t>
    </w:r>
    <w:r>
      <w:rPr>
        <w:rStyle w:val="PageNumber"/>
      </w:rPr>
      <w:fldChar w:fldCharType="end"/>
    </w:r>
  </w:p>
  <w:p w14:paraId="7B3CD37F" w14:textId="77777777" w:rsidR="00490ADA" w:rsidRDefault="00490A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490ADA" w:rsidRDefault="00490ADA" w:rsidP="0097477C">
      <w:r>
        <w:separator/>
      </w:r>
    </w:p>
  </w:footnote>
  <w:footnote w:type="continuationSeparator" w:id="0">
    <w:p w14:paraId="1F4F0369" w14:textId="77777777" w:rsidR="00490ADA" w:rsidRDefault="00490ADA"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A661F"/>
    <w:rsid w:val="001B7AAC"/>
    <w:rsid w:val="001D339A"/>
    <w:rsid w:val="001E6069"/>
    <w:rsid w:val="001F426F"/>
    <w:rsid w:val="00210C2C"/>
    <w:rsid w:val="00211E25"/>
    <w:rsid w:val="0027161C"/>
    <w:rsid w:val="0027250E"/>
    <w:rsid w:val="00286091"/>
    <w:rsid w:val="00297D5B"/>
    <w:rsid w:val="002D3552"/>
    <w:rsid w:val="002E14AF"/>
    <w:rsid w:val="002F195F"/>
    <w:rsid w:val="002F2641"/>
    <w:rsid w:val="0030432A"/>
    <w:rsid w:val="00306D46"/>
    <w:rsid w:val="003304C1"/>
    <w:rsid w:val="0037253B"/>
    <w:rsid w:val="003B41B6"/>
    <w:rsid w:val="003C0704"/>
    <w:rsid w:val="003F21CD"/>
    <w:rsid w:val="004627F6"/>
    <w:rsid w:val="004628C9"/>
    <w:rsid w:val="00465104"/>
    <w:rsid w:val="00484659"/>
    <w:rsid w:val="00485C54"/>
    <w:rsid w:val="00490ADA"/>
    <w:rsid w:val="004B1A2C"/>
    <w:rsid w:val="004B27FE"/>
    <w:rsid w:val="004E6E75"/>
    <w:rsid w:val="004F2C90"/>
    <w:rsid w:val="005200EC"/>
    <w:rsid w:val="005504F4"/>
    <w:rsid w:val="005520EA"/>
    <w:rsid w:val="0055648A"/>
    <w:rsid w:val="0056352B"/>
    <w:rsid w:val="00586FC3"/>
    <w:rsid w:val="00597F0F"/>
    <w:rsid w:val="006048D7"/>
    <w:rsid w:val="00624860"/>
    <w:rsid w:val="00651195"/>
    <w:rsid w:val="00671BA5"/>
    <w:rsid w:val="00672A96"/>
    <w:rsid w:val="00686D9B"/>
    <w:rsid w:val="0069100D"/>
    <w:rsid w:val="006E5355"/>
    <w:rsid w:val="006F4E20"/>
    <w:rsid w:val="006F6E00"/>
    <w:rsid w:val="00711D89"/>
    <w:rsid w:val="00722D2A"/>
    <w:rsid w:val="00737FBB"/>
    <w:rsid w:val="00745DAC"/>
    <w:rsid w:val="00757074"/>
    <w:rsid w:val="00763ED4"/>
    <w:rsid w:val="0078056C"/>
    <w:rsid w:val="00792F74"/>
    <w:rsid w:val="007A385C"/>
    <w:rsid w:val="007F2F0B"/>
    <w:rsid w:val="00850113"/>
    <w:rsid w:val="00850C0A"/>
    <w:rsid w:val="00884C0A"/>
    <w:rsid w:val="008858CC"/>
    <w:rsid w:val="008870CB"/>
    <w:rsid w:val="008967BA"/>
    <w:rsid w:val="008D023F"/>
    <w:rsid w:val="008D5063"/>
    <w:rsid w:val="008E30D7"/>
    <w:rsid w:val="008E4AFD"/>
    <w:rsid w:val="008F0DBF"/>
    <w:rsid w:val="0090678C"/>
    <w:rsid w:val="0091405C"/>
    <w:rsid w:val="00931DBE"/>
    <w:rsid w:val="00954D7A"/>
    <w:rsid w:val="00966319"/>
    <w:rsid w:val="0097477C"/>
    <w:rsid w:val="009C7F24"/>
    <w:rsid w:val="009F078E"/>
    <w:rsid w:val="00A0143A"/>
    <w:rsid w:val="00A12CB5"/>
    <w:rsid w:val="00A21CE8"/>
    <w:rsid w:val="00A24ADA"/>
    <w:rsid w:val="00AF5D2B"/>
    <w:rsid w:val="00B27B6E"/>
    <w:rsid w:val="00B47518"/>
    <w:rsid w:val="00B505B5"/>
    <w:rsid w:val="00B74822"/>
    <w:rsid w:val="00BB39F6"/>
    <w:rsid w:val="00BF4C9E"/>
    <w:rsid w:val="00C01BE4"/>
    <w:rsid w:val="00C11A08"/>
    <w:rsid w:val="00C31A49"/>
    <w:rsid w:val="00C56A89"/>
    <w:rsid w:val="00C94B8C"/>
    <w:rsid w:val="00CA1698"/>
    <w:rsid w:val="00D06FF8"/>
    <w:rsid w:val="00D1584F"/>
    <w:rsid w:val="00D20877"/>
    <w:rsid w:val="00D6111E"/>
    <w:rsid w:val="00D74601"/>
    <w:rsid w:val="00D93F5C"/>
    <w:rsid w:val="00DE2445"/>
    <w:rsid w:val="00E00F28"/>
    <w:rsid w:val="00E0268D"/>
    <w:rsid w:val="00E41604"/>
    <w:rsid w:val="00E421DC"/>
    <w:rsid w:val="00E50735"/>
    <w:rsid w:val="00E5230A"/>
    <w:rsid w:val="00E56B6D"/>
    <w:rsid w:val="00E57639"/>
    <w:rsid w:val="00E801D2"/>
    <w:rsid w:val="00EC5BA7"/>
    <w:rsid w:val="00EF4A08"/>
    <w:rsid w:val="00F07DF2"/>
    <w:rsid w:val="00F14D3C"/>
    <w:rsid w:val="00F15C00"/>
    <w:rsid w:val="00F37EEC"/>
    <w:rsid w:val="00F658C0"/>
    <w:rsid w:val="00F843FD"/>
    <w:rsid w:val="00F911CF"/>
    <w:rsid w:val="00F94B8B"/>
    <w:rsid w:val="00FA0750"/>
    <w:rsid w:val="00FA403A"/>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3015</Words>
  <Characters>17191</Characters>
  <Application>Microsoft Macintosh Word</Application>
  <DocSecurity>0</DocSecurity>
  <Lines>143</Lines>
  <Paragraphs>40</Paragraphs>
  <ScaleCrop>false</ScaleCrop>
  <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29</cp:revision>
  <dcterms:created xsi:type="dcterms:W3CDTF">2013-05-21T20:49:00Z</dcterms:created>
  <dcterms:modified xsi:type="dcterms:W3CDTF">2013-08-30T21:25:00Z</dcterms:modified>
</cp:coreProperties>
</file>