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43F48C8A"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4BBF4E02"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778599C2"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SMC</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7C740B2F"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7938BA">
        <w:t>Barbour et al. 2007</w:t>
      </w:r>
      <w:r w:rsidR="00E500F9">
        <w:t>)</w:t>
      </w:r>
      <w:r w:rsidR="00AE61A8">
        <w:t>.</w:t>
      </w:r>
    </w:p>
    <w:p w14:paraId="0BCE1BCD" w14:textId="77777777" w:rsidR="00052255" w:rsidRDefault="00052255" w:rsidP="00052255">
      <w:pPr>
        <w:rPr>
          <w:b/>
        </w:rPr>
      </w:pPr>
    </w:p>
    <w:p w14:paraId="4C87CA4D" w14:textId="227BD87B"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LandFire data on fire return intervals, with an emphasis on Californian sources. We also include here data from the pertinent LandFire BpS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40564F38"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45B4AE2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P. tremuloides</w:t>
      </w:r>
      <w:r w:rsidRPr="006F682A">
        <w:t xml:space="preserve"> on upland sites disappears completely (site overtaken by conifers) due to prolonged absence of disturbance, then restoration to a </w:t>
      </w:r>
      <w:r w:rsidRPr="001253A1">
        <w:rPr>
          <w:i/>
          <w:iCs/>
        </w:rPr>
        <w:t>P. tremuloides</w:t>
      </w:r>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LandFire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851B9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851B9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851B9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77777777" w:rsidR="00420E86" w:rsidRPr="00EC5F24" w:rsidRDefault="00420E86" w:rsidP="00851B9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77777777" w:rsidR="00420E86" w:rsidRPr="00EC5F24" w:rsidRDefault="00420E86" w:rsidP="00851B9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851B9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851B9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851B90">
            <w:pPr>
              <w:jc w:val="center"/>
              <w:rPr>
                <w:b/>
                <w:color w:val="000000"/>
              </w:rPr>
            </w:pPr>
            <w:r w:rsidRPr="00EC5F24">
              <w:rPr>
                <w:b/>
                <w:color w:val="000000"/>
              </w:rPr>
              <w:t>% of Fires</w:t>
            </w:r>
          </w:p>
        </w:tc>
      </w:tr>
      <w:tr w:rsidR="00420E86" w:rsidRPr="00571334" w14:paraId="1D4CEF13" w14:textId="77777777" w:rsidTr="00851B90">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851B90">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851B90">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851B9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5B33D785" w:rsidR="00420E86" w:rsidRPr="007D4AD1" w:rsidRDefault="00420E86" w:rsidP="00851B90">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1AA341B1"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041BD4C2"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851B90">
            <w:pPr>
              <w:jc w:val="center"/>
              <w:rPr>
                <w:color w:val="000000"/>
              </w:rPr>
            </w:pPr>
            <w:r w:rsidRPr="00571334">
              <w:rPr>
                <w:color w:val="000000"/>
              </w:rPr>
              <w:t>1</w:t>
            </w:r>
            <w:r>
              <w:rPr>
                <w:color w:val="000000"/>
              </w:rPr>
              <w:t>8</w:t>
            </w:r>
          </w:p>
        </w:tc>
      </w:tr>
      <w:tr w:rsidR="00420E86" w:rsidRPr="00571334" w14:paraId="244384B3" w14:textId="77777777" w:rsidTr="00851B90">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186FFC3" w:rsidR="00420E86" w:rsidRPr="007D4AD1" w:rsidRDefault="00420E86" w:rsidP="00851B90">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1F58F7F5"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332D42C7"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851B90">
            <w:pPr>
              <w:jc w:val="center"/>
              <w:rPr>
                <w:color w:val="000000"/>
              </w:rPr>
            </w:pPr>
            <w:r w:rsidRPr="00571334">
              <w:rPr>
                <w:color w:val="000000"/>
              </w:rPr>
              <w:t>8</w:t>
            </w:r>
            <w:r>
              <w:rPr>
                <w:color w:val="000000"/>
              </w:rPr>
              <w:t>2</w:t>
            </w:r>
          </w:p>
        </w:tc>
      </w:tr>
      <w:tr w:rsidR="00420E86" w:rsidRPr="00571334" w14:paraId="42305CB0" w14:textId="77777777" w:rsidTr="00851B90">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71EA5918" w:rsidR="00420E86" w:rsidRPr="007D4AD1" w:rsidRDefault="00420E86" w:rsidP="00851B90">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851B90">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851B90">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7777777" w:rsidR="00420E86" w:rsidRPr="007D4AD1" w:rsidRDefault="00420E86" w:rsidP="00851B90">
            <w:pPr>
              <w:jc w:val="center"/>
              <w:rPr>
                <w:color w:val="000000"/>
              </w:rPr>
            </w:pPr>
          </w:p>
        </w:tc>
      </w:tr>
      <w:tr w:rsidR="00420E86" w:rsidRPr="00571334" w14:paraId="489B832A" w14:textId="77777777" w:rsidTr="00851B90">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851B9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851B90">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3E324CAF" w:rsidR="00420E86" w:rsidRPr="007D4AD1" w:rsidRDefault="00420E86" w:rsidP="00851B90">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6C265573"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5A906BB"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851B90">
            <w:pPr>
              <w:jc w:val="center"/>
              <w:rPr>
                <w:color w:val="000000"/>
              </w:rPr>
            </w:pPr>
            <w:r>
              <w:rPr>
                <w:color w:val="000000"/>
              </w:rPr>
              <w:t>21</w:t>
            </w:r>
          </w:p>
        </w:tc>
      </w:tr>
      <w:tr w:rsidR="00420E86" w:rsidRPr="00571334" w14:paraId="34AFC4EA" w14:textId="77777777" w:rsidTr="00851B90">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7260D42A" w:rsidR="00420E86" w:rsidRPr="007D4AD1" w:rsidRDefault="00420E86" w:rsidP="00851B90">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0875862D"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851B90">
            <w:pPr>
              <w:jc w:val="center"/>
              <w:rPr>
                <w:color w:val="000000"/>
              </w:rPr>
            </w:pPr>
            <w:r>
              <w:rPr>
                <w:color w:val="000000"/>
              </w:rPr>
              <w:t>79</w:t>
            </w:r>
          </w:p>
        </w:tc>
      </w:tr>
      <w:tr w:rsidR="00420E86" w:rsidRPr="00571334" w14:paraId="3FC83D4A" w14:textId="77777777" w:rsidTr="00851B90">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5EF867A" w:rsidR="00420E86" w:rsidRPr="007D4AD1" w:rsidRDefault="00420E86" w:rsidP="00851B90">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851B90">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851B90">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77777777" w:rsidR="00420E86" w:rsidRPr="007D4AD1" w:rsidRDefault="00420E86" w:rsidP="00851B90">
            <w:pPr>
              <w:jc w:val="center"/>
              <w:rPr>
                <w:color w:val="000000"/>
              </w:rPr>
            </w:pPr>
          </w:p>
        </w:tc>
      </w:tr>
      <w:tr w:rsidR="00420E86" w:rsidRPr="00571334" w14:paraId="093B2B50" w14:textId="77777777" w:rsidTr="00851B90">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851B9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851B9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851B90">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551B2B20"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851B90">
            <w:pPr>
              <w:jc w:val="center"/>
              <w:rPr>
                <w:color w:val="000000"/>
              </w:rPr>
            </w:pPr>
            <w:r>
              <w:rPr>
                <w:color w:val="000000"/>
              </w:rPr>
              <w:t>18</w:t>
            </w:r>
          </w:p>
        </w:tc>
      </w:tr>
      <w:tr w:rsidR="00420E86" w:rsidRPr="00571334" w14:paraId="5A4359BB" w14:textId="77777777" w:rsidTr="00851B90">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851B90">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AD917DF"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851B90">
            <w:pPr>
              <w:jc w:val="center"/>
              <w:rPr>
                <w:color w:val="000000"/>
              </w:rPr>
            </w:pPr>
            <w:r>
              <w:rPr>
                <w:color w:val="000000"/>
              </w:rPr>
              <w:t>82</w:t>
            </w:r>
          </w:p>
        </w:tc>
      </w:tr>
      <w:tr w:rsidR="00420E86" w:rsidRPr="00571334" w14:paraId="479D130A" w14:textId="77777777" w:rsidTr="00851B90">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851B90">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851B90">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851B90">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77777777" w:rsidR="00420E86" w:rsidRPr="007D4AD1" w:rsidRDefault="00420E86" w:rsidP="00851B90">
            <w:pPr>
              <w:jc w:val="center"/>
              <w:rPr>
                <w:color w:val="000000"/>
              </w:rPr>
            </w:pPr>
          </w:p>
        </w:tc>
      </w:tr>
      <w:tr w:rsidR="00420E86" w:rsidRPr="00571334" w14:paraId="7FE05240" w14:textId="77777777" w:rsidTr="00851B90">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851B90">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851B90">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77777777" w:rsidR="00420E86" w:rsidRPr="007D4AD1" w:rsidRDefault="00420E86" w:rsidP="00851B90">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9477437"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542396C"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48A1BD19" w14:textId="77777777" w:rsidR="00420E86" w:rsidRPr="007D4AD1" w:rsidRDefault="00420E86" w:rsidP="00851B90">
            <w:pPr>
              <w:jc w:val="center"/>
              <w:rPr>
                <w:color w:val="000000"/>
              </w:rPr>
            </w:pPr>
            <w:r w:rsidRPr="00571334">
              <w:rPr>
                <w:color w:val="000000"/>
              </w:rPr>
              <w:t>37</w:t>
            </w:r>
          </w:p>
        </w:tc>
      </w:tr>
      <w:tr w:rsidR="00420E86" w:rsidRPr="00571334" w14:paraId="4876F8DF" w14:textId="77777777" w:rsidTr="00851B90">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851B90">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77777777" w:rsidR="00420E86" w:rsidRPr="007D4AD1" w:rsidRDefault="00420E86" w:rsidP="00851B90">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1DF518E"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7F48A62C"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211BF447" w14:textId="77777777" w:rsidR="00420E86" w:rsidRPr="007D4AD1" w:rsidRDefault="00420E86" w:rsidP="00851B90">
            <w:pPr>
              <w:jc w:val="center"/>
              <w:rPr>
                <w:color w:val="000000"/>
              </w:rPr>
            </w:pPr>
            <w:r w:rsidRPr="00571334">
              <w:rPr>
                <w:color w:val="000000"/>
              </w:rPr>
              <w:t>63</w:t>
            </w:r>
          </w:p>
        </w:tc>
      </w:tr>
      <w:tr w:rsidR="00420E86" w:rsidRPr="00571334" w14:paraId="0F41494B" w14:textId="77777777" w:rsidTr="00851B90">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851B90">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851B90">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2FE51780" w:rsidR="00420E86" w:rsidRPr="007D4AD1" w:rsidRDefault="00420E86" w:rsidP="00851B90">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1526E2E1" w14:textId="77777777" w:rsidR="00420E86" w:rsidRPr="007D4AD1" w:rsidRDefault="00420E86" w:rsidP="00851B90">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0FDA9D0B" w14:textId="77777777" w:rsidR="00420E86" w:rsidRPr="007D4AD1" w:rsidRDefault="00420E86" w:rsidP="00851B90">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50C77787" w14:textId="77777777" w:rsidR="00420E86" w:rsidRPr="007D4AD1" w:rsidRDefault="00420E86" w:rsidP="00851B90">
            <w:pPr>
              <w:jc w:val="center"/>
              <w:rPr>
                <w:color w:val="000000"/>
              </w:rPr>
            </w:pP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2"/>
      <w:r w:rsidRPr="001C3308">
        <w:rPr>
          <w:rFonts w:eastAsia="Times New Roman"/>
          <w:b/>
          <w:bCs/>
          <w:noProof/>
          <w:sz w:val="36"/>
        </w:rPr>
        <w:t>Classes</w:t>
      </w:r>
      <w:commentRangeEnd w:id="2"/>
      <w:r w:rsidR="00D26AD8">
        <w:rPr>
          <w:rStyle w:val="CommentReference"/>
          <w:rFonts w:eastAsia="Times New Roman"/>
          <w:noProof/>
        </w:rPr>
        <w:commentReference w:id="2"/>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12ABDEB3"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xml:space="preserve">, are relatively more common </w:t>
      </w:r>
      <w:r w:rsidR="00871B02">
        <w:t xml:space="preserve">Shrubs and herbs are </w:t>
      </w:r>
      <w:commentRangeStart w:id="3"/>
      <w:r w:rsidR="00871B02">
        <w:t>sparse</w:t>
      </w:r>
      <w:commentRangeEnd w:id="3"/>
      <w:r w:rsidR="00871B02">
        <w:rPr>
          <w:rStyle w:val="CommentReference"/>
        </w:rPr>
        <w:commentReference w:id="3"/>
      </w:r>
      <w:r w:rsidR="00871B02">
        <w:t xml:space="preserve">. </w:t>
      </w:r>
      <w:r w:rsidR="00871B02" w:rsidRPr="00871B02">
        <w:rPr>
          <w:bCs/>
        </w:rPr>
        <w:t>(Barbour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4"/>
      <w:r w:rsidRPr="00E91FDC">
        <w:rPr>
          <w:rFonts w:ascii="Garamond" w:hAnsi="Garamond"/>
          <w:b/>
          <w:i/>
          <w:color w:val="auto"/>
        </w:rPr>
        <w:t>Transition</w:t>
      </w:r>
      <w:commentRangeEnd w:id="4"/>
      <w:r w:rsidR="005B211F">
        <w:rPr>
          <w:rStyle w:val="CommentReference"/>
          <w:rFonts w:ascii="Garamond" w:eastAsia="Times New Roman" w:hAnsi="Garamond" w:cs="Times New Roman"/>
          <w:noProof/>
          <w:color w:val="auto"/>
        </w:rPr>
        <w:commentReference w:id="4"/>
      </w:r>
      <w:r w:rsidRPr="00E91FDC">
        <w:rPr>
          <w:rFonts w:ascii="Garamond" w:hAnsi="Garamond"/>
          <w:b/>
          <w:i/>
          <w:color w:val="auto"/>
          <w:sz w:val="28"/>
        </w:rPr>
        <w:tab/>
      </w:r>
    </w:p>
    <w:p w14:paraId="780A5566" w14:textId="15FB6F0D"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FE0D876"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p>
    <w:p w14:paraId="364A5B98" w14:textId="33FFAA61"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FF60BB">
        <w:t>Barbour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02C9A5D8"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4C51DCED"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w:t>
      </w:r>
      <w:r w:rsidR="009F6CCB">
        <w:t>condition</w:t>
      </w:r>
      <w:r w:rsidRPr="0003511E">
        <w:t xml:space="preserve">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2C72A922"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5"/>
      <w:r w:rsidRPr="00E91FDC">
        <w:rPr>
          <w:rFonts w:eastAsia="Times New Roman"/>
          <w:b/>
          <w:i/>
          <w:noProof/>
          <w:szCs w:val="20"/>
        </w:rPr>
        <w:t>Transition</w:t>
      </w:r>
      <w:commentRangeEnd w:id="5"/>
      <w:r w:rsidR="000479DE">
        <w:rPr>
          <w:rStyle w:val="CommentReference"/>
          <w:rFonts w:eastAsia="Times New Roman"/>
          <w:noProof/>
        </w:rPr>
        <w:commentReference w:id="5"/>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6009B0F"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populate disturbance-generated gaps.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Pr>
          <w:rFonts w:ascii="Garamond" w:hAnsi="Garamond"/>
          <w:color w:val="auto"/>
        </w:rPr>
        <w:t xml:space="preserve"> </w:t>
      </w:r>
    </w:p>
    <w:p w14:paraId="6CE97823" w14:textId="49D0BBDE"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Pr="0036446A">
        <w:t xml:space="preserve"> relatively more common. (</w:t>
      </w:r>
      <w:r w:rsidR="00FF60BB">
        <w:t>Barbour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162778D5"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FF60BB">
        <w:t>Barbour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B59E69E"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6"/>
      <w:r w:rsidRPr="00A45378">
        <w:rPr>
          <w:rFonts w:eastAsia="Times New Roman"/>
          <w:b/>
          <w:bCs/>
          <w:noProof/>
          <w:sz w:val="28"/>
        </w:rPr>
        <w:t>LDC</w:t>
      </w:r>
      <w:commentRangeEnd w:id="6"/>
      <w:r w:rsidR="005B211F">
        <w:rPr>
          <w:rStyle w:val="CommentReference"/>
          <w:rFonts w:eastAsia="Times New Roman"/>
          <w:noProof/>
        </w:rPr>
        <w:commentReference w:id="6"/>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5967912A"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7"/>
      <w:r w:rsidR="005B211F">
        <w:rPr>
          <w:b/>
          <w:sz w:val="28"/>
        </w:rPr>
        <w:t>FM</w:t>
      </w:r>
      <w:r w:rsidR="005B211F" w:rsidRPr="006F682A">
        <w:rPr>
          <w:b/>
          <w:sz w:val="28"/>
        </w:rPr>
        <w:t>AC</w:t>
      </w:r>
      <w:commentRangeEnd w:id="7"/>
      <w:r w:rsidR="005B211F">
        <w:rPr>
          <w:rStyle w:val="CommentReference"/>
        </w:rPr>
        <w:commentReference w:id="7"/>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2E0ED696" w:rsidR="007B738E" w:rsidRPr="00374919" w:rsidRDefault="007B738E" w:rsidP="007B738E">
      <w:pPr>
        <w:rPr>
          <w:sz w:val="22"/>
        </w:rPr>
      </w:pPr>
      <w:r w:rsidRPr="00374919">
        <w:rPr>
          <w:sz w:val="22"/>
        </w:rPr>
        <w:t>Table 3. Classification of cover condition for SMC-ASP.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boolean AND across each column of a </w:t>
      </w:r>
      <w:commentRangeStart w:id="8"/>
      <w:r w:rsidRPr="00374919">
        <w:rPr>
          <w:sz w:val="22"/>
        </w:rPr>
        <w:t>row</w:t>
      </w:r>
      <w:commentRangeEnd w:id="8"/>
      <w:r w:rsidRPr="00374919">
        <w:rPr>
          <w:rStyle w:val="CommentReference"/>
          <w:sz w:val="14"/>
        </w:rPr>
        <w:commentReference w:id="8"/>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F22758">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F22758">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F22758">
            <w:r w:rsidRPr="006F682A">
              <w:t>Overstory Tree</w:t>
            </w:r>
          </w:p>
          <w:p w14:paraId="7AD33446" w14:textId="77777777" w:rsidR="007B738E" w:rsidRPr="006F682A" w:rsidRDefault="007B738E" w:rsidP="00F22758">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F22758">
            <w:r w:rsidRPr="006F682A">
              <w:t>Overstory Tree</w:t>
            </w:r>
          </w:p>
          <w:p w14:paraId="19030F22" w14:textId="77777777" w:rsidR="007B738E" w:rsidRPr="006F682A" w:rsidRDefault="007B738E" w:rsidP="00F22758">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F22758">
            <w:r w:rsidRPr="006F682A">
              <w:t>Total Tree</w:t>
            </w:r>
          </w:p>
          <w:p w14:paraId="2FD6C7CB" w14:textId="77777777" w:rsidR="007B738E" w:rsidRPr="006F682A" w:rsidRDefault="007B738E" w:rsidP="00F22758">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F22758">
            <w:r w:rsidRPr="006F682A">
              <w:t>Conifer</w:t>
            </w:r>
          </w:p>
          <w:p w14:paraId="7FF438AB" w14:textId="77777777" w:rsidR="007B738E" w:rsidRPr="006F682A" w:rsidRDefault="007B738E" w:rsidP="00F22758">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F22758">
            <w:r w:rsidRPr="006F682A">
              <w:t>Hardwood</w:t>
            </w:r>
          </w:p>
          <w:p w14:paraId="407AB401" w14:textId="77777777" w:rsidR="007B738E" w:rsidRPr="006F682A" w:rsidRDefault="007B738E" w:rsidP="00F22758">
            <w:r w:rsidRPr="006F682A">
              <w:t>CFA (%)</w:t>
            </w:r>
          </w:p>
        </w:tc>
      </w:tr>
      <w:tr w:rsidR="007B738E" w:rsidRPr="00664ACB" w14:paraId="55F2CE98" w14:textId="77777777" w:rsidTr="00F22758">
        <w:trPr>
          <w:trHeight w:val="360"/>
          <w:jc w:val="center"/>
        </w:trPr>
        <w:tc>
          <w:tcPr>
            <w:tcW w:w="1867" w:type="dxa"/>
            <w:tcBorders>
              <w:bottom w:val="single" w:sz="4" w:space="0" w:color="auto"/>
            </w:tcBorders>
            <w:vAlign w:val="center"/>
          </w:tcPr>
          <w:p w14:paraId="60EC0658" w14:textId="77777777" w:rsidR="007B738E" w:rsidRPr="006F682A" w:rsidRDefault="007B738E" w:rsidP="00F22758">
            <w:r w:rsidRPr="006F682A">
              <w:t>Early All</w:t>
            </w:r>
          </w:p>
        </w:tc>
        <w:tc>
          <w:tcPr>
            <w:tcW w:w="1963" w:type="dxa"/>
            <w:tcBorders>
              <w:bottom w:val="single" w:sz="4" w:space="0" w:color="auto"/>
            </w:tcBorders>
            <w:vAlign w:val="center"/>
          </w:tcPr>
          <w:p w14:paraId="59BC4B10" w14:textId="77777777" w:rsidR="007B738E" w:rsidRPr="006F682A" w:rsidRDefault="007B738E" w:rsidP="00F22758">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F22758">
            <w:r w:rsidRPr="006F682A">
              <w:t>any</w:t>
            </w:r>
          </w:p>
        </w:tc>
        <w:tc>
          <w:tcPr>
            <w:tcW w:w="1363" w:type="dxa"/>
            <w:tcBorders>
              <w:bottom w:val="single" w:sz="4" w:space="0" w:color="auto"/>
            </w:tcBorders>
            <w:vAlign w:val="center"/>
          </w:tcPr>
          <w:p w14:paraId="22F17F4E" w14:textId="77777777" w:rsidR="007B738E" w:rsidRPr="006F682A" w:rsidRDefault="007B738E" w:rsidP="00F22758">
            <w:r w:rsidRPr="006F682A">
              <w:t>any</w:t>
            </w:r>
          </w:p>
        </w:tc>
        <w:tc>
          <w:tcPr>
            <w:tcW w:w="1080" w:type="dxa"/>
            <w:tcBorders>
              <w:bottom w:val="single" w:sz="4" w:space="0" w:color="auto"/>
            </w:tcBorders>
            <w:vAlign w:val="center"/>
          </w:tcPr>
          <w:p w14:paraId="25AD8EC2" w14:textId="77777777" w:rsidR="007B738E" w:rsidRPr="006F682A" w:rsidRDefault="007B738E" w:rsidP="00F22758">
            <w:r w:rsidRPr="006F682A">
              <w:t>any</w:t>
            </w:r>
          </w:p>
        </w:tc>
        <w:tc>
          <w:tcPr>
            <w:tcW w:w="1081" w:type="dxa"/>
            <w:tcBorders>
              <w:bottom w:val="single" w:sz="4" w:space="0" w:color="auto"/>
            </w:tcBorders>
            <w:vAlign w:val="center"/>
          </w:tcPr>
          <w:p w14:paraId="0E4A5D87" w14:textId="77777777" w:rsidR="007B738E" w:rsidRPr="006F682A" w:rsidRDefault="007B738E" w:rsidP="00F22758">
            <w:r w:rsidRPr="006F682A">
              <w:t>any</w:t>
            </w:r>
          </w:p>
        </w:tc>
      </w:tr>
      <w:tr w:rsidR="007B738E" w:rsidRPr="00664ACB" w14:paraId="2BD752A2" w14:textId="77777777" w:rsidTr="00F22758">
        <w:trPr>
          <w:trHeight w:val="360"/>
          <w:jc w:val="center"/>
        </w:trPr>
        <w:tc>
          <w:tcPr>
            <w:tcW w:w="1867" w:type="dxa"/>
            <w:tcBorders>
              <w:top w:val="single" w:sz="4" w:space="0" w:color="auto"/>
            </w:tcBorders>
            <w:vAlign w:val="center"/>
          </w:tcPr>
          <w:p w14:paraId="5EEC9328" w14:textId="77777777" w:rsidR="007B738E" w:rsidRPr="006F682A" w:rsidRDefault="007B738E" w:rsidP="00F22758">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F22758">
            <w:r>
              <w:t>5-</w:t>
            </w:r>
            <w:r w:rsidRPr="006F682A">
              <w:t>9.9”</w:t>
            </w:r>
          </w:p>
        </w:tc>
        <w:tc>
          <w:tcPr>
            <w:tcW w:w="1886" w:type="dxa"/>
            <w:tcBorders>
              <w:top w:val="single" w:sz="4" w:space="0" w:color="auto"/>
            </w:tcBorders>
            <w:vAlign w:val="center"/>
          </w:tcPr>
          <w:p w14:paraId="19BA37A7" w14:textId="77777777" w:rsidR="007B738E" w:rsidRPr="006F682A" w:rsidRDefault="007B738E" w:rsidP="00F22758">
            <w:r w:rsidRPr="006F682A">
              <w:t>any</w:t>
            </w:r>
          </w:p>
        </w:tc>
        <w:tc>
          <w:tcPr>
            <w:tcW w:w="1363" w:type="dxa"/>
            <w:tcBorders>
              <w:top w:val="single" w:sz="4" w:space="0" w:color="auto"/>
            </w:tcBorders>
            <w:vAlign w:val="center"/>
          </w:tcPr>
          <w:p w14:paraId="17F5C2EF" w14:textId="77777777" w:rsidR="007B738E" w:rsidRPr="006F682A" w:rsidRDefault="007B738E" w:rsidP="00F22758">
            <w:r w:rsidRPr="006F682A">
              <w:t>null</w:t>
            </w:r>
          </w:p>
        </w:tc>
        <w:tc>
          <w:tcPr>
            <w:tcW w:w="1080" w:type="dxa"/>
            <w:tcBorders>
              <w:top w:val="single" w:sz="4" w:space="0" w:color="auto"/>
            </w:tcBorders>
            <w:vAlign w:val="center"/>
          </w:tcPr>
          <w:p w14:paraId="4A440651" w14:textId="77777777" w:rsidR="007B738E" w:rsidRPr="006F682A" w:rsidRDefault="007B738E" w:rsidP="00F22758">
            <w:r w:rsidRPr="006F682A">
              <w:t>null</w:t>
            </w:r>
          </w:p>
        </w:tc>
        <w:tc>
          <w:tcPr>
            <w:tcW w:w="1081" w:type="dxa"/>
            <w:tcBorders>
              <w:top w:val="single" w:sz="4" w:space="0" w:color="auto"/>
            </w:tcBorders>
            <w:vAlign w:val="center"/>
          </w:tcPr>
          <w:p w14:paraId="2EB333CF" w14:textId="77777777" w:rsidR="007B738E" w:rsidRPr="006F682A" w:rsidRDefault="007B738E" w:rsidP="00F22758">
            <w:r w:rsidRPr="006F682A">
              <w:t>null</w:t>
            </w:r>
          </w:p>
        </w:tc>
      </w:tr>
      <w:tr w:rsidR="007B738E" w:rsidRPr="00664ACB" w14:paraId="267E5DE2" w14:textId="77777777" w:rsidTr="00F22758">
        <w:trPr>
          <w:trHeight w:val="360"/>
          <w:jc w:val="center"/>
        </w:trPr>
        <w:tc>
          <w:tcPr>
            <w:tcW w:w="1867" w:type="dxa"/>
            <w:vAlign w:val="center"/>
          </w:tcPr>
          <w:p w14:paraId="7E89E0CC" w14:textId="77777777" w:rsidR="007B738E" w:rsidRPr="006F682A" w:rsidRDefault="007B738E" w:rsidP="00F22758">
            <w:r w:rsidRPr="006F682A">
              <w:t xml:space="preserve">Mid </w:t>
            </w:r>
            <w:r>
              <w:t>Aspen</w:t>
            </w:r>
          </w:p>
        </w:tc>
        <w:tc>
          <w:tcPr>
            <w:tcW w:w="1963" w:type="dxa"/>
            <w:vAlign w:val="center"/>
          </w:tcPr>
          <w:p w14:paraId="0A81EB0C" w14:textId="77777777" w:rsidR="007B738E" w:rsidRPr="006F682A" w:rsidRDefault="007B738E" w:rsidP="00F22758">
            <w:r>
              <w:t>5-</w:t>
            </w:r>
            <w:r w:rsidRPr="006F682A">
              <w:t>9.9”</w:t>
            </w:r>
          </w:p>
        </w:tc>
        <w:tc>
          <w:tcPr>
            <w:tcW w:w="1886" w:type="dxa"/>
            <w:vAlign w:val="center"/>
          </w:tcPr>
          <w:p w14:paraId="3522E56E" w14:textId="77777777" w:rsidR="007B738E" w:rsidRPr="006F682A" w:rsidRDefault="007B738E" w:rsidP="00F22758">
            <w:r w:rsidRPr="006F682A">
              <w:t>any</w:t>
            </w:r>
          </w:p>
        </w:tc>
        <w:tc>
          <w:tcPr>
            <w:tcW w:w="1363" w:type="dxa"/>
            <w:vAlign w:val="center"/>
          </w:tcPr>
          <w:p w14:paraId="16C87E09" w14:textId="77777777" w:rsidR="007B738E" w:rsidRPr="006F682A" w:rsidRDefault="007B738E" w:rsidP="00F22758">
            <w:r w:rsidRPr="006F682A">
              <w:t>&lt;50</w:t>
            </w:r>
          </w:p>
        </w:tc>
        <w:tc>
          <w:tcPr>
            <w:tcW w:w="1080" w:type="dxa"/>
            <w:vAlign w:val="center"/>
          </w:tcPr>
          <w:p w14:paraId="2497E747" w14:textId="77777777" w:rsidR="007B738E" w:rsidRPr="006F682A" w:rsidRDefault="007B738E" w:rsidP="00F22758">
            <w:r w:rsidRPr="006F682A">
              <w:t>any</w:t>
            </w:r>
          </w:p>
        </w:tc>
        <w:tc>
          <w:tcPr>
            <w:tcW w:w="1081" w:type="dxa"/>
            <w:vAlign w:val="center"/>
          </w:tcPr>
          <w:p w14:paraId="7290579F" w14:textId="77777777" w:rsidR="007B738E" w:rsidRPr="006F682A" w:rsidRDefault="007B738E" w:rsidP="00F22758">
            <w:r w:rsidRPr="006F682A">
              <w:t>any</w:t>
            </w:r>
          </w:p>
        </w:tc>
      </w:tr>
      <w:tr w:rsidR="007B738E" w:rsidRPr="00664ACB" w14:paraId="6660F8C8" w14:textId="77777777" w:rsidTr="00F22758">
        <w:trPr>
          <w:trHeight w:val="360"/>
          <w:jc w:val="center"/>
        </w:trPr>
        <w:tc>
          <w:tcPr>
            <w:tcW w:w="1867" w:type="dxa"/>
            <w:tcBorders>
              <w:top w:val="single" w:sz="4" w:space="0" w:color="auto"/>
            </w:tcBorders>
            <w:vAlign w:val="center"/>
          </w:tcPr>
          <w:p w14:paraId="58E468F6" w14:textId="77777777" w:rsidR="007B738E" w:rsidRDefault="007B738E" w:rsidP="00F22758">
            <w:r w:rsidRPr="006F682A">
              <w:t xml:space="preserve">Mid </w:t>
            </w:r>
            <w:r>
              <w:t>Aspen-</w:t>
            </w:r>
          </w:p>
          <w:p w14:paraId="4D9B989B" w14:textId="77777777" w:rsidR="007B738E" w:rsidRPr="006F682A" w:rsidRDefault="007B738E" w:rsidP="00F22758">
            <w:r>
              <w:t>Conifer</w:t>
            </w:r>
          </w:p>
        </w:tc>
        <w:tc>
          <w:tcPr>
            <w:tcW w:w="1963" w:type="dxa"/>
            <w:tcBorders>
              <w:top w:val="single" w:sz="4" w:space="0" w:color="auto"/>
            </w:tcBorders>
            <w:vAlign w:val="center"/>
          </w:tcPr>
          <w:p w14:paraId="653A5A15" w14:textId="77777777" w:rsidR="007B738E" w:rsidRPr="006F682A" w:rsidRDefault="007B738E" w:rsidP="00F22758">
            <w:r>
              <w:t>10</w:t>
            </w:r>
            <w:r w:rsidRPr="006F682A">
              <w:t>-19.9”</w:t>
            </w:r>
          </w:p>
        </w:tc>
        <w:tc>
          <w:tcPr>
            <w:tcW w:w="1886" w:type="dxa"/>
            <w:tcBorders>
              <w:top w:val="single" w:sz="4" w:space="0" w:color="auto"/>
            </w:tcBorders>
            <w:vAlign w:val="center"/>
          </w:tcPr>
          <w:p w14:paraId="0A9EC76D" w14:textId="77777777" w:rsidR="007B738E" w:rsidRPr="006F682A" w:rsidRDefault="007B738E" w:rsidP="00F22758">
            <w:r w:rsidRPr="006F682A">
              <w:t>any</w:t>
            </w:r>
          </w:p>
        </w:tc>
        <w:tc>
          <w:tcPr>
            <w:tcW w:w="1363" w:type="dxa"/>
            <w:tcBorders>
              <w:top w:val="single" w:sz="4" w:space="0" w:color="auto"/>
            </w:tcBorders>
            <w:vAlign w:val="center"/>
          </w:tcPr>
          <w:p w14:paraId="08555460" w14:textId="77777777" w:rsidR="007B738E" w:rsidRPr="006F682A" w:rsidRDefault="007B738E" w:rsidP="00F22758">
            <w:r w:rsidRPr="006F682A">
              <w:t>&gt;50</w:t>
            </w:r>
          </w:p>
        </w:tc>
        <w:tc>
          <w:tcPr>
            <w:tcW w:w="1080" w:type="dxa"/>
            <w:tcBorders>
              <w:top w:val="single" w:sz="4" w:space="0" w:color="auto"/>
            </w:tcBorders>
            <w:vAlign w:val="center"/>
          </w:tcPr>
          <w:p w14:paraId="4C92AE0E" w14:textId="77777777" w:rsidR="007B738E" w:rsidRPr="006F682A" w:rsidRDefault="007B738E" w:rsidP="00F22758">
            <w:r w:rsidRPr="006F682A">
              <w:t>any</w:t>
            </w:r>
          </w:p>
        </w:tc>
        <w:tc>
          <w:tcPr>
            <w:tcW w:w="1081" w:type="dxa"/>
            <w:tcBorders>
              <w:top w:val="single" w:sz="4" w:space="0" w:color="auto"/>
            </w:tcBorders>
            <w:vAlign w:val="center"/>
          </w:tcPr>
          <w:p w14:paraId="322C3E5B" w14:textId="77777777" w:rsidR="007B738E" w:rsidRPr="006F682A" w:rsidRDefault="007B738E" w:rsidP="00F22758">
            <w:r w:rsidRPr="006F682A">
              <w:t>any</w:t>
            </w:r>
          </w:p>
        </w:tc>
      </w:tr>
      <w:tr w:rsidR="007B738E" w:rsidRPr="00664ACB" w14:paraId="2E78785E" w14:textId="77777777" w:rsidTr="00F22758">
        <w:trPr>
          <w:trHeight w:val="360"/>
          <w:jc w:val="center"/>
        </w:trPr>
        <w:tc>
          <w:tcPr>
            <w:tcW w:w="1867" w:type="dxa"/>
            <w:tcBorders>
              <w:bottom w:val="single" w:sz="4" w:space="0" w:color="auto"/>
            </w:tcBorders>
            <w:vAlign w:val="center"/>
          </w:tcPr>
          <w:p w14:paraId="3134F4B0" w14:textId="77777777" w:rsidR="007B738E" w:rsidRDefault="007B738E" w:rsidP="00F22758">
            <w:r w:rsidRPr="006F682A">
              <w:t xml:space="preserve">Mid </w:t>
            </w:r>
            <w:r>
              <w:t>Aspen-</w:t>
            </w:r>
          </w:p>
          <w:p w14:paraId="579BCA38" w14:textId="77777777" w:rsidR="007B738E" w:rsidRPr="006F682A" w:rsidRDefault="007B738E" w:rsidP="00F22758">
            <w:r>
              <w:t>Conifer</w:t>
            </w:r>
          </w:p>
        </w:tc>
        <w:tc>
          <w:tcPr>
            <w:tcW w:w="1963" w:type="dxa"/>
            <w:tcBorders>
              <w:bottom w:val="single" w:sz="4" w:space="0" w:color="auto"/>
            </w:tcBorders>
            <w:vAlign w:val="center"/>
          </w:tcPr>
          <w:p w14:paraId="0EA9AEB9" w14:textId="77777777" w:rsidR="007B738E" w:rsidRPr="006F682A" w:rsidRDefault="007B738E" w:rsidP="00F22758">
            <w:r>
              <w:t>10</w:t>
            </w:r>
            <w:r w:rsidRPr="006F682A">
              <w:t>-19.9”</w:t>
            </w:r>
          </w:p>
        </w:tc>
        <w:tc>
          <w:tcPr>
            <w:tcW w:w="1886" w:type="dxa"/>
            <w:tcBorders>
              <w:bottom w:val="single" w:sz="4" w:space="0" w:color="auto"/>
            </w:tcBorders>
            <w:vAlign w:val="center"/>
          </w:tcPr>
          <w:p w14:paraId="1EA0A3A9" w14:textId="77777777" w:rsidR="007B738E" w:rsidRPr="006F682A" w:rsidRDefault="007B738E" w:rsidP="00F22758">
            <w:r w:rsidRPr="006F682A">
              <w:t>any</w:t>
            </w:r>
          </w:p>
        </w:tc>
        <w:tc>
          <w:tcPr>
            <w:tcW w:w="1363" w:type="dxa"/>
            <w:tcBorders>
              <w:bottom w:val="single" w:sz="4" w:space="0" w:color="auto"/>
            </w:tcBorders>
            <w:vAlign w:val="center"/>
          </w:tcPr>
          <w:p w14:paraId="13B34391" w14:textId="77777777" w:rsidR="007B738E" w:rsidRPr="006F682A" w:rsidRDefault="007B738E" w:rsidP="00F22758">
            <w:r w:rsidRPr="006F682A">
              <w:t>null</w:t>
            </w:r>
          </w:p>
        </w:tc>
        <w:tc>
          <w:tcPr>
            <w:tcW w:w="1080" w:type="dxa"/>
            <w:tcBorders>
              <w:bottom w:val="single" w:sz="4" w:space="0" w:color="auto"/>
            </w:tcBorders>
            <w:vAlign w:val="center"/>
          </w:tcPr>
          <w:p w14:paraId="5F33DBDA" w14:textId="77777777" w:rsidR="007B738E" w:rsidRPr="006F682A" w:rsidRDefault="007B738E" w:rsidP="00F22758">
            <w:r w:rsidRPr="006F682A">
              <w:t>&gt;50</w:t>
            </w:r>
          </w:p>
        </w:tc>
        <w:tc>
          <w:tcPr>
            <w:tcW w:w="1081" w:type="dxa"/>
            <w:tcBorders>
              <w:bottom w:val="single" w:sz="4" w:space="0" w:color="auto"/>
            </w:tcBorders>
            <w:vAlign w:val="center"/>
          </w:tcPr>
          <w:p w14:paraId="638633A7" w14:textId="77777777" w:rsidR="007B738E" w:rsidRPr="006F682A" w:rsidRDefault="007B738E" w:rsidP="00F22758">
            <w:r w:rsidRPr="006F682A">
              <w:t>any</w:t>
            </w:r>
          </w:p>
        </w:tc>
      </w:tr>
      <w:tr w:rsidR="007B738E" w:rsidRPr="00664ACB" w14:paraId="5D88C4C4" w14:textId="77777777" w:rsidTr="00F22758">
        <w:trPr>
          <w:trHeight w:val="360"/>
          <w:jc w:val="center"/>
        </w:trPr>
        <w:tc>
          <w:tcPr>
            <w:tcW w:w="1867" w:type="dxa"/>
            <w:tcBorders>
              <w:top w:val="single" w:sz="4" w:space="0" w:color="auto"/>
            </w:tcBorders>
            <w:vAlign w:val="center"/>
          </w:tcPr>
          <w:p w14:paraId="5EAE7ACC" w14:textId="77777777" w:rsidR="007B738E" w:rsidRPr="006F682A" w:rsidRDefault="007B738E" w:rsidP="00F22758">
            <w:r w:rsidRPr="006F682A">
              <w:t>Late Closed</w:t>
            </w:r>
          </w:p>
        </w:tc>
        <w:tc>
          <w:tcPr>
            <w:tcW w:w="1963" w:type="dxa"/>
            <w:tcBorders>
              <w:top w:val="single" w:sz="4" w:space="0" w:color="auto"/>
            </w:tcBorders>
            <w:vAlign w:val="center"/>
          </w:tcPr>
          <w:p w14:paraId="66A9DD57" w14:textId="77777777" w:rsidR="007B738E" w:rsidRPr="006F682A" w:rsidRDefault="007B738E" w:rsidP="00F22758">
            <w:r w:rsidRPr="006F682A">
              <w:t>20”+</w:t>
            </w:r>
          </w:p>
        </w:tc>
        <w:tc>
          <w:tcPr>
            <w:tcW w:w="1886" w:type="dxa"/>
            <w:tcBorders>
              <w:top w:val="single" w:sz="4" w:space="0" w:color="auto"/>
            </w:tcBorders>
            <w:vAlign w:val="center"/>
          </w:tcPr>
          <w:p w14:paraId="1D9D4EC4" w14:textId="77777777" w:rsidR="007B738E" w:rsidRPr="006F682A" w:rsidRDefault="007B738E" w:rsidP="00F22758">
            <w:r w:rsidRPr="006F682A">
              <w:t>any</w:t>
            </w:r>
          </w:p>
        </w:tc>
        <w:tc>
          <w:tcPr>
            <w:tcW w:w="1363" w:type="dxa"/>
            <w:tcBorders>
              <w:top w:val="single" w:sz="4" w:space="0" w:color="auto"/>
            </w:tcBorders>
            <w:vAlign w:val="center"/>
          </w:tcPr>
          <w:p w14:paraId="36E367DB" w14:textId="77777777" w:rsidR="007B738E" w:rsidRPr="006F682A" w:rsidRDefault="007B738E" w:rsidP="00F22758">
            <w:r w:rsidRPr="006F682A">
              <w:t>&gt;50</w:t>
            </w:r>
          </w:p>
        </w:tc>
        <w:tc>
          <w:tcPr>
            <w:tcW w:w="1080" w:type="dxa"/>
            <w:tcBorders>
              <w:top w:val="single" w:sz="4" w:space="0" w:color="auto"/>
            </w:tcBorders>
            <w:vAlign w:val="center"/>
          </w:tcPr>
          <w:p w14:paraId="4D140E4E" w14:textId="77777777" w:rsidR="007B738E" w:rsidRPr="006F682A" w:rsidRDefault="007B738E" w:rsidP="00F22758">
            <w:r w:rsidRPr="006F682A">
              <w:t>any</w:t>
            </w:r>
          </w:p>
        </w:tc>
        <w:tc>
          <w:tcPr>
            <w:tcW w:w="1081" w:type="dxa"/>
            <w:tcBorders>
              <w:top w:val="single" w:sz="4" w:space="0" w:color="auto"/>
            </w:tcBorders>
            <w:vAlign w:val="center"/>
          </w:tcPr>
          <w:p w14:paraId="1575A6B2" w14:textId="77777777" w:rsidR="007B738E" w:rsidRPr="006F682A" w:rsidRDefault="007B738E" w:rsidP="00F22758">
            <w:r w:rsidRPr="006F682A">
              <w:t>any</w:t>
            </w:r>
          </w:p>
        </w:tc>
      </w:tr>
      <w:tr w:rsidR="007B738E" w:rsidRPr="00664ACB" w14:paraId="1661A824" w14:textId="77777777" w:rsidTr="00F22758">
        <w:trPr>
          <w:trHeight w:val="360"/>
          <w:jc w:val="center"/>
        </w:trPr>
        <w:tc>
          <w:tcPr>
            <w:tcW w:w="1867" w:type="dxa"/>
            <w:tcBorders>
              <w:bottom w:val="single" w:sz="4" w:space="0" w:color="auto"/>
            </w:tcBorders>
            <w:vAlign w:val="center"/>
          </w:tcPr>
          <w:p w14:paraId="62F185B1" w14:textId="77777777" w:rsidR="007B738E" w:rsidRPr="006F682A" w:rsidRDefault="007B738E" w:rsidP="00F22758">
            <w:r w:rsidRPr="006F682A">
              <w:t>Late Closed</w:t>
            </w:r>
          </w:p>
        </w:tc>
        <w:tc>
          <w:tcPr>
            <w:tcW w:w="1963" w:type="dxa"/>
            <w:tcBorders>
              <w:bottom w:val="single" w:sz="4" w:space="0" w:color="auto"/>
            </w:tcBorders>
            <w:vAlign w:val="center"/>
          </w:tcPr>
          <w:p w14:paraId="66A2C61E" w14:textId="77777777" w:rsidR="007B738E" w:rsidRPr="006F682A" w:rsidRDefault="007B738E" w:rsidP="00F22758">
            <w:r w:rsidRPr="006F682A">
              <w:t>20”+</w:t>
            </w:r>
          </w:p>
        </w:tc>
        <w:tc>
          <w:tcPr>
            <w:tcW w:w="1886" w:type="dxa"/>
            <w:tcBorders>
              <w:bottom w:val="single" w:sz="4" w:space="0" w:color="auto"/>
            </w:tcBorders>
            <w:vAlign w:val="center"/>
          </w:tcPr>
          <w:p w14:paraId="0D975F8B" w14:textId="77777777" w:rsidR="007B738E" w:rsidRPr="006F682A" w:rsidRDefault="007B738E" w:rsidP="00F22758">
            <w:r w:rsidRPr="006F682A">
              <w:t>any</w:t>
            </w:r>
          </w:p>
        </w:tc>
        <w:tc>
          <w:tcPr>
            <w:tcW w:w="1363" w:type="dxa"/>
            <w:tcBorders>
              <w:bottom w:val="single" w:sz="4" w:space="0" w:color="auto"/>
            </w:tcBorders>
            <w:vAlign w:val="center"/>
          </w:tcPr>
          <w:p w14:paraId="03390787" w14:textId="77777777" w:rsidR="007B738E" w:rsidRPr="006F682A" w:rsidRDefault="007B738E" w:rsidP="00F22758">
            <w:r w:rsidRPr="006F682A">
              <w:t>null</w:t>
            </w:r>
          </w:p>
        </w:tc>
        <w:tc>
          <w:tcPr>
            <w:tcW w:w="1080" w:type="dxa"/>
            <w:tcBorders>
              <w:bottom w:val="single" w:sz="4" w:space="0" w:color="auto"/>
            </w:tcBorders>
            <w:vAlign w:val="center"/>
          </w:tcPr>
          <w:p w14:paraId="3DE28A14" w14:textId="77777777" w:rsidR="007B738E" w:rsidRPr="006F682A" w:rsidRDefault="007B738E" w:rsidP="00F22758">
            <w:r w:rsidRPr="006F682A">
              <w:t>&gt;50</w:t>
            </w:r>
          </w:p>
        </w:tc>
        <w:tc>
          <w:tcPr>
            <w:tcW w:w="1081" w:type="dxa"/>
            <w:tcBorders>
              <w:bottom w:val="single" w:sz="4" w:space="0" w:color="auto"/>
            </w:tcBorders>
            <w:vAlign w:val="center"/>
          </w:tcPr>
          <w:p w14:paraId="36D7F869" w14:textId="77777777" w:rsidR="007B738E" w:rsidRPr="006F682A" w:rsidRDefault="007B738E" w:rsidP="00F22758">
            <w:r w:rsidRPr="006F682A">
              <w:t>any</w:t>
            </w:r>
          </w:p>
        </w:tc>
      </w:tr>
      <w:tr w:rsidR="007B738E" w:rsidRPr="00664ACB" w14:paraId="0096ABA1" w14:textId="77777777" w:rsidTr="00F22758">
        <w:trPr>
          <w:trHeight w:val="360"/>
          <w:jc w:val="center"/>
        </w:trPr>
        <w:tc>
          <w:tcPr>
            <w:tcW w:w="1867" w:type="dxa"/>
            <w:tcBorders>
              <w:top w:val="single" w:sz="4" w:space="0" w:color="auto"/>
            </w:tcBorders>
            <w:vAlign w:val="center"/>
          </w:tcPr>
          <w:p w14:paraId="3B7C384F" w14:textId="77777777" w:rsidR="007B738E" w:rsidRDefault="007B738E" w:rsidP="00F22758">
            <w:r>
              <w:t>Fire-Maintained</w:t>
            </w:r>
          </w:p>
          <w:p w14:paraId="2788F043" w14:textId="77777777" w:rsidR="007B738E" w:rsidRPr="006F682A" w:rsidRDefault="007B738E" w:rsidP="00F22758">
            <w:r>
              <w:t>Aspen-Conifer</w:t>
            </w:r>
          </w:p>
        </w:tc>
        <w:tc>
          <w:tcPr>
            <w:tcW w:w="1963" w:type="dxa"/>
            <w:tcBorders>
              <w:top w:val="single" w:sz="4" w:space="0" w:color="auto"/>
            </w:tcBorders>
            <w:vAlign w:val="center"/>
          </w:tcPr>
          <w:p w14:paraId="4B7611B5" w14:textId="77777777" w:rsidR="007B738E" w:rsidRPr="006F682A" w:rsidRDefault="007B738E" w:rsidP="00F22758">
            <w:r w:rsidRPr="006F682A">
              <w:t>20”+</w:t>
            </w:r>
          </w:p>
        </w:tc>
        <w:tc>
          <w:tcPr>
            <w:tcW w:w="1886" w:type="dxa"/>
            <w:tcBorders>
              <w:top w:val="single" w:sz="4" w:space="0" w:color="auto"/>
            </w:tcBorders>
            <w:vAlign w:val="center"/>
          </w:tcPr>
          <w:p w14:paraId="0B921EA7" w14:textId="77777777" w:rsidR="007B738E" w:rsidRPr="006F682A" w:rsidRDefault="007B738E" w:rsidP="00F22758">
            <w:r w:rsidRPr="006F682A">
              <w:t>any</w:t>
            </w:r>
          </w:p>
        </w:tc>
        <w:tc>
          <w:tcPr>
            <w:tcW w:w="1363" w:type="dxa"/>
            <w:tcBorders>
              <w:top w:val="single" w:sz="4" w:space="0" w:color="auto"/>
            </w:tcBorders>
            <w:vAlign w:val="center"/>
          </w:tcPr>
          <w:p w14:paraId="7FAEB498" w14:textId="77777777" w:rsidR="007B738E" w:rsidRPr="006F682A" w:rsidRDefault="007B738E" w:rsidP="00F22758">
            <w:r w:rsidRPr="006F682A">
              <w:t>null</w:t>
            </w:r>
          </w:p>
        </w:tc>
        <w:tc>
          <w:tcPr>
            <w:tcW w:w="1080" w:type="dxa"/>
            <w:tcBorders>
              <w:top w:val="single" w:sz="4" w:space="0" w:color="auto"/>
            </w:tcBorders>
            <w:vAlign w:val="center"/>
          </w:tcPr>
          <w:p w14:paraId="6C5339CE" w14:textId="77777777" w:rsidR="007B738E" w:rsidRPr="006F682A" w:rsidRDefault="007B738E" w:rsidP="00F22758">
            <w:r w:rsidRPr="006F682A">
              <w:t>null</w:t>
            </w:r>
          </w:p>
        </w:tc>
        <w:tc>
          <w:tcPr>
            <w:tcW w:w="1081" w:type="dxa"/>
            <w:tcBorders>
              <w:top w:val="single" w:sz="4" w:space="0" w:color="auto"/>
            </w:tcBorders>
            <w:vAlign w:val="center"/>
          </w:tcPr>
          <w:p w14:paraId="4FDD8726" w14:textId="77777777" w:rsidR="007B738E" w:rsidRPr="006F682A" w:rsidRDefault="007B738E" w:rsidP="00F22758">
            <w:r w:rsidRPr="006F682A">
              <w:t>null</w:t>
            </w:r>
          </w:p>
        </w:tc>
      </w:tr>
      <w:tr w:rsidR="007B738E" w:rsidRPr="00664ACB" w14:paraId="5E62003D" w14:textId="77777777" w:rsidTr="00F22758">
        <w:trPr>
          <w:trHeight w:val="360"/>
          <w:jc w:val="center"/>
        </w:trPr>
        <w:tc>
          <w:tcPr>
            <w:tcW w:w="1867" w:type="dxa"/>
            <w:tcBorders>
              <w:bottom w:val="single" w:sz="4" w:space="0" w:color="auto"/>
            </w:tcBorders>
            <w:vAlign w:val="center"/>
          </w:tcPr>
          <w:p w14:paraId="2F42E567" w14:textId="77777777" w:rsidR="007B738E" w:rsidRDefault="007B738E" w:rsidP="00F22758">
            <w:r>
              <w:t>Fire-Maintained</w:t>
            </w:r>
          </w:p>
          <w:p w14:paraId="346776D0" w14:textId="77777777" w:rsidR="007B738E" w:rsidRPr="006F682A" w:rsidRDefault="007B738E" w:rsidP="00F22758">
            <w:r>
              <w:t>Aspen-Conifer</w:t>
            </w:r>
          </w:p>
        </w:tc>
        <w:tc>
          <w:tcPr>
            <w:tcW w:w="1963" w:type="dxa"/>
            <w:tcBorders>
              <w:bottom w:val="single" w:sz="4" w:space="0" w:color="auto"/>
            </w:tcBorders>
            <w:vAlign w:val="center"/>
          </w:tcPr>
          <w:p w14:paraId="0045D91A" w14:textId="77777777" w:rsidR="007B738E" w:rsidRPr="006F682A" w:rsidRDefault="007B738E" w:rsidP="00F22758">
            <w:r w:rsidRPr="006F682A">
              <w:t>20”+</w:t>
            </w:r>
          </w:p>
        </w:tc>
        <w:tc>
          <w:tcPr>
            <w:tcW w:w="1886" w:type="dxa"/>
            <w:tcBorders>
              <w:bottom w:val="single" w:sz="4" w:space="0" w:color="auto"/>
            </w:tcBorders>
            <w:vAlign w:val="center"/>
          </w:tcPr>
          <w:p w14:paraId="12A679E0" w14:textId="77777777" w:rsidR="007B738E" w:rsidRPr="006F682A" w:rsidRDefault="007B738E" w:rsidP="00F22758">
            <w:r w:rsidRPr="006F682A">
              <w:t>any</w:t>
            </w:r>
          </w:p>
        </w:tc>
        <w:tc>
          <w:tcPr>
            <w:tcW w:w="1363" w:type="dxa"/>
            <w:tcBorders>
              <w:bottom w:val="single" w:sz="4" w:space="0" w:color="auto"/>
            </w:tcBorders>
            <w:vAlign w:val="center"/>
          </w:tcPr>
          <w:p w14:paraId="179E43C8" w14:textId="77777777" w:rsidR="007B738E" w:rsidRPr="006F682A" w:rsidRDefault="007B738E" w:rsidP="00F22758">
            <w:r w:rsidRPr="006F682A">
              <w:t>&lt;50</w:t>
            </w:r>
          </w:p>
        </w:tc>
        <w:tc>
          <w:tcPr>
            <w:tcW w:w="1080" w:type="dxa"/>
            <w:tcBorders>
              <w:bottom w:val="single" w:sz="4" w:space="0" w:color="auto"/>
            </w:tcBorders>
            <w:vAlign w:val="center"/>
          </w:tcPr>
          <w:p w14:paraId="2D9B1F1A" w14:textId="77777777" w:rsidR="007B738E" w:rsidRPr="006F682A" w:rsidRDefault="007B738E" w:rsidP="00F22758">
            <w:r w:rsidRPr="006F682A">
              <w:t>any</w:t>
            </w:r>
          </w:p>
        </w:tc>
        <w:tc>
          <w:tcPr>
            <w:tcW w:w="1081" w:type="dxa"/>
            <w:tcBorders>
              <w:bottom w:val="single" w:sz="4" w:space="0" w:color="auto"/>
            </w:tcBorders>
            <w:vAlign w:val="center"/>
          </w:tcPr>
          <w:p w14:paraId="3304E8C1" w14:textId="77777777" w:rsidR="007B738E" w:rsidRPr="006F682A" w:rsidRDefault="007B738E" w:rsidP="00F22758">
            <w:r w:rsidRPr="006F682A">
              <w:t>any</w:t>
            </w:r>
          </w:p>
        </w:tc>
      </w:tr>
    </w:tbl>
    <w:p w14:paraId="7166E2C6" w14:textId="77777777" w:rsidR="002F028C" w:rsidRDefault="002F028C" w:rsidP="002F028C">
      <w:pPr>
        <w:rPr>
          <w:b/>
          <w:sz w:val="32"/>
        </w:rPr>
      </w:pPr>
      <w:bookmarkStart w:id="9" w:name="_GoBack"/>
      <w:bookmarkEnd w:id="9"/>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52AC48FA" w14:textId="77777777" w:rsidR="00302235" w:rsidRDefault="00302235" w:rsidP="00265A62">
      <w:pPr>
        <w:spacing w:line="276" w:lineRule="auto"/>
        <w:ind w:left="720" w:hanging="720"/>
      </w:pPr>
      <w:r>
        <w:t xml:space="preserve">Barbour, Michael, Keeler-Wolf, Todd, and Schoenherr, Allan A., eds. </w:t>
      </w:r>
      <w:r>
        <w:rPr>
          <w:i/>
        </w:rPr>
        <w:t>Terrestrial Vegetation of California, 3</w:t>
      </w:r>
      <w:r w:rsidRPr="00832813">
        <w:rPr>
          <w:i/>
          <w:vertAlign w:val="superscript"/>
        </w:rPr>
        <w:t>rd</w:t>
      </w:r>
      <w:r>
        <w:rPr>
          <w:i/>
        </w:rPr>
        <w:t xml:space="preserve"> Edition</w:t>
      </w:r>
      <w:r>
        <w:t xml:space="preserve">. 2007. </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1988. Mayer, Kenneth E. and Laudenslayer, William F., eds. California Deparment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r w:rsidRPr="004C5E60">
        <w:t>Abies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r>
        <w:t xml:space="preserve">Laacke, Robert J. “California Red Fir.” </w:t>
      </w:r>
      <w:r w:rsidRPr="00065875">
        <w:t xml:space="preserve">Burns, Russell M. and Barbara H. Honkala, tech. coords. Silvics of North America, vol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r>
        <w:t xml:space="preserve">LandFire.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r>
        <w:t>LandFire.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r>
        <w:t xml:space="preserve">LandFire.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r>
        <w:t xml:space="preserve">LandFire.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6431B1" w:rsidRDefault="006431B1">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29T17:35:00Z" w:initials="MM">
    <w:p w14:paraId="1F1D5816" w14:textId="13CB1272" w:rsidR="006431B1" w:rsidRDefault="006431B1">
      <w:pPr>
        <w:pStyle w:val="CommentText"/>
      </w:pPr>
      <w:r>
        <w:rPr>
          <w:rStyle w:val="CommentReference"/>
        </w:rPr>
        <w:annotationRef/>
      </w:r>
      <w:r>
        <w:t xml:space="preserve">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w:t>
      </w:r>
      <w:r w:rsidR="00420E86">
        <w:t>LandFire</w:t>
      </w:r>
      <w:r>
        <w:t xml:space="preserve"> numbers were supposed to be tailored to a specific zone. We would appreciate your opinion on which numbers are most reflective of our project area specifically and the northern Sierra more generally, if they differ.</w:t>
      </w:r>
    </w:p>
  </w:comment>
  <w:comment w:id="2" w:author="Maritza Mallek" w:date="2013-05-04T20:25:00Z" w:initials="MM">
    <w:p w14:paraId="512CF218" w14:textId="3C3015EA" w:rsidR="006431B1" w:rsidRDefault="006431B1">
      <w:pPr>
        <w:pStyle w:val="CommentText"/>
      </w:pPr>
      <w:r>
        <w:rPr>
          <w:rStyle w:val="CommentReference"/>
        </w:rPr>
        <w:annotationRef/>
      </w:r>
      <w:r>
        <w:t>For the reviewer:</w:t>
      </w:r>
      <w:r>
        <w:br/>
        <w:t>ED = Early Development</w:t>
      </w:r>
    </w:p>
    <w:p w14:paraId="188B89BF" w14:textId="04F1B13D" w:rsidR="006431B1" w:rsidRDefault="006431B1">
      <w:pPr>
        <w:pStyle w:val="CommentText"/>
      </w:pPr>
      <w:r>
        <w:t>MD = Mid Development</w:t>
      </w:r>
    </w:p>
    <w:p w14:paraId="1BC58E52" w14:textId="12FBD588" w:rsidR="006431B1" w:rsidRDefault="006431B1">
      <w:pPr>
        <w:pStyle w:val="CommentText"/>
      </w:pPr>
      <w:r>
        <w:t>LD = Late Development</w:t>
      </w:r>
    </w:p>
    <w:p w14:paraId="472935A5" w14:textId="219E68D0" w:rsidR="006431B1" w:rsidRDefault="006431B1">
      <w:pPr>
        <w:pStyle w:val="CommentText"/>
      </w:pPr>
      <w:r>
        <w:t>O (as in MDO) = Open (canopy)</w:t>
      </w:r>
    </w:p>
    <w:p w14:paraId="5527C588" w14:textId="1CB16F3A" w:rsidR="006431B1" w:rsidRDefault="006431B1">
      <w:pPr>
        <w:pStyle w:val="CommentText"/>
      </w:pPr>
      <w:r>
        <w:t>C = Closed (canopy)</w:t>
      </w:r>
    </w:p>
  </w:comment>
  <w:comment w:id="3" w:author="Maritza Mallek" w:date="2013-05-15T18:06:00Z" w:initials="MM">
    <w:p w14:paraId="3F068C09" w14:textId="77777777" w:rsidR="006431B1" w:rsidRDefault="006431B1"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4" w:author="Maritza Mallek" w:date="2013-05-16T11:38:00Z" w:initials="MM">
    <w:p w14:paraId="5FDD5C82" w14:textId="13FC851F" w:rsidR="006431B1" w:rsidRDefault="006431B1">
      <w:pPr>
        <w:pStyle w:val="CommentText"/>
      </w:pPr>
      <w:r>
        <w:rPr>
          <w:rStyle w:val="CommentReference"/>
        </w:rPr>
        <w:annotationRef/>
      </w:r>
      <w:r>
        <w:t>Recall that all these numbers are from the zone 7 red fir landfire model.</w:t>
      </w:r>
    </w:p>
  </w:comment>
  <w:comment w:id="5" w:author="Maritza Mallek" w:date="2013-05-04T20:30:00Z" w:initials="MM">
    <w:p w14:paraId="07ABC2E1" w14:textId="77777777" w:rsidR="006431B1" w:rsidRDefault="006431B1">
      <w:pPr>
        <w:pStyle w:val="CommentText"/>
      </w:pPr>
      <w:r>
        <w:rPr>
          <w:rStyle w:val="CommentReference"/>
        </w:rPr>
        <w:annotationRef/>
      </w:r>
      <w:r>
        <w:t>KEY POINT</w:t>
      </w:r>
    </w:p>
    <w:p w14:paraId="7F1D502E" w14:textId="3175CA39" w:rsidR="006431B1" w:rsidRPr="000479DE" w:rsidRDefault="006431B1">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6" w:author="Maritza Mallek" w:date="2013-05-16T11:43:00Z" w:initials="MM">
    <w:p w14:paraId="26CF2410" w14:textId="15339F0F" w:rsidR="006431B1" w:rsidRDefault="006431B1">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7" w:author="Maritza Mallek" w:date="2013-05-16T11:43:00Z" w:initials="MM">
    <w:p w14:paraId="01A01107" w14:textId="77777777" w:rsidR="006431B1" w:rsidRDefault="006431B1" w:rsidP="005B211F">
      <w:pPr>
        <w:pStyle w:val="CommentText"/>
      </w:pPr>
      <w:r>
        <w:rPr>
          <w:rStyle w:val="CommentReference"/>
        </w:rPr>
        <w:annotationRef/>
      </w:r>
      <w:r>
        <w:t>Provisional stage being considered for removal.</w:t>
      </w:r>
    </w:p>
  </w:comment>
  <w:comment w:id="8" w:author="Maritza Mallek" w:date="2013-05-22T16:30:00Z" w:initials="MM">
    <w:p w14:paraId="2DD4F376" w14:textId="77777777" w:rsidR="007B738E" w:rsidRDefault="007B738E"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431B1" w:rsidRDefault="006431B1" w:rsidP="00E179B6">
      <w:r>
        <w:separator/>
      </w:r>
    </w:p>
  </w:endnote>
  <w:endnote w:type="continuationSeparator" w:id="0">
    <w:p w14:paraId="4C9D3813" w14:textId="77777777" w:rsidR="006431B1" w:rsidRDefault="006431B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431B1" w:rsidRDefault="006431B1" w:rsidP="00E179B6">
      <w:r>
        <w:separator/>
      </w:r>
    </w:p>
  </w:footnote>
  <w:footnote w:type="continuationSeparator" w:id="0">
    <w:p w14:paraId="5023A293" w14:textId="77777777" w:rsidR="006431B1" w:rsidRDefault="006431B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2FD4"/>
    <w:rsid w:val="001F35D2"/>
    <w:rsid w:val="00212D6F"/>
    <w:rsid w:val="00265A62"/>
    <w:rsid w:val="00290D29"/>
    <w:rsid w:val="002B5F0D"/>
    <w:rsid w:val="002D4630"/>
    <w:rsid w:val="002F028C"/>
    <w:rsid w:val="00300084"/>
    <w:rsid w:val="00301812"/>
    <w:rsid w:val="00302235"/>
    <w:rsid w:val="00330286"/>
    <w:rsid w:val="0036446A"/>
    <w:rsid w:val="00367487"/>
    <w:rsid w:val="003A42A6"/>
    <w:rsid w:val="004006DE"/>
    <w:rsid w:val="00420E86"/>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07A"/>
    <w:rsid w:val="00651361"/>
    <w:rsid w:val="00653872"/>
    <w:rsid w:val="00692C2E"/>
    <w:rsid w:val="006C502F"/>
    <w:rsid w:val="006D448F"/>
    <w:rsid w:val="006F1EDF"/>
    <w:rsid w:val="0070489D"/>
    <w:rsid w:val="00722413"/>
    <w:rsid w:val="00734F1D"/>
    <w:rsid w:val="00752354"/>
    <w:rsid w:val="00754575"/>
    <w:rsid w:val="00771244"/>
    <w:rsid w:val="007938BA"/>
    <w:rsid w:val="007B738E"/>
    <w:rsid w:val="007C05B6"/>
    <w:rsid w:val="007E0557"/>
    <w:rsid w:val="007F0945"/>
    <w:rsid w:val="00847368"/>
    <w:rsid w:val="00871B02"/>
    <w:rsid w:val="00872A24"/>
    <w:rsid w:val="008C1966"/>
    <w:rsid w:val="008E6DE6"/>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938CD"/>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5275D-0BCB-E24C-9871-C71F4760D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4894</Words>
  <Characters>27899</Characters>
  <Application>Microsoft Macintosh Word</Application>
  <DocSecurity>0</DocSecurity>
  <Lines>232</Lines>
  <Paragraphs>65</Paragraphs>
  <ScaleCrop>false</ScaleCrop>
  <Company/>
  <LinksUpToDate>false</LinksUpToDate>
  <CharactersWithSpaces>32728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2013-05-22T18:51:00Z</dcterms:created>
  <dcterms:modified xsi:type="dcterms:W3CDTF">2013-05-29T21:35:00Z</dcterms:modified>
</cp:coreProperties>
</file>