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74BB7A" w14:textId="77777777" w:rsidR="00CC5173" w:rsidRDefault="00CC5173" w:rsidP="00DD76B9">
      <w:pPr>
        <w:pStyle w:val="Heading2"/>
        <w:widowControl/>
        <w:spacing w:before="0" w:after="0"/>
        <w:rPr>
          <w:sz w:val="40"/>
          <w:szCs w:val="24"/>
        </w:rPr>
      </w:pPr>
      <w:r>
        <w:rPr>
          <w:sz w:val="40"/>
          <w:szCs w:val="24"/>
        </w:rPr>
        <w:t>Western White Pine</w:t>
      </w:r>
      <w:r w:rsidRPr="006F682A">
        <w:rPr>
          <w:sz w:val="40"/>
          <w:szCs w:val="24"/>
        </w:rPr>
        <w:t xml:space="preserve"> (</w:t>
      </w:r>
      <w:r>
        <w:rPr>
          <w:sz w:val="40"/>
          <w:szCs w:val="24"/>
        </w:rPr>
        <w:t>WWP</w:t>
      </w:r>
      <w:r w:rsidRPr="006F682A">
        <w:rPr>
          <w:sz w:val="40"/>
          <w:szCs w:val="24"/>
        </w:rPr>
        <w:t>)</w:t>
      </w:r>
    </w:p>
    <w:p w14:paraId="05491F8D" w14:textId="77777777" w:rsidR="00CC5173" w:rsidRPr="00FD30C4" w:rsidRDefault="00CC5173" w:rsidP="00DD76B9"/>
    <w:p w14:paraId="614C0ABC" w14:textId="77777777" w:rsidR="00CC5173" w:rsidRPr="00FD30C4" w:rsidRDefault="00CC5173" w:rsidP="00DD76B9">
      <w:pPr>
        <w:keepNext/>
        <w:spacing w:before="120" w:after="120"/>
        <w:outlineLvl w:val="2"/>
        <w:rPr>
          <w:b/>
          <w:bCs/>
          <w:sz w:val="36"/>
        </w:rPr>
      </w:pPr>
      <w:r w:rsidRPr="00FD30C4">
        <w:rPr>
          <w:b/>
          <w:bCs/>
          <w:sz w:val="36"/>
        </w:rPr>
        <w:t>General Information</w:t>
      </w:r>
    </w:p>
    <w:p w14:paraId="3D44B613" w14:textId="77777777" w:rsidR="00CC5173" w:rsidRPr="00FD30C4" w:rsidRDefault="00CC5173" w:rsidP="00DD76B9">
      <w:pPr>
        <w:keepNext/>
        <w:spacing w:before="120" w:after="120"/>
        <w:outlineLvl w:val="2"/>
        <w:rPr>
          <w:b/>
          <w:bCs/>
          <w:sz w:val="32"/>
        </w:rPr>
      </w:pPr>
      <w:r w:rsidRPr="00FD30C4">
        <w:rPr>
          <w:b/>
          <w:bCs/>
          <w:sz w:val="32"/>
        </w:rPr>
        <w:t>Cover Type Overview</w:t>
      </w:r>
    </w:p>
    <w:p w14:paraId="1009C056" w14:textId="77777777" w:rsidR="00CC5173" w:rsidRDefault="00CC5173" w:rsidP="00DD76B9">
      <w:pPr>
        <w:pStyle w:val="ListParagraph"/>
      </w:pPr>
      <w:r>
        <w:t>1,257 acres / 509 hectares</w:t>
      </w:r>
    </w:p>
    <w:p w14:paraId="61245704" w14:textId="77777777" w:rsidR="00CC5173" w:rsidRDefault="00CC5173" w:rsidP="00DD76B9">
      <w:pPr>
        <w:pStyle w:val="ListParagraph"/>
      </w:pPr>
      <w:r>
        <w:t>Crosswalk to EVeg: Regional Dominance Type 1</w:t>
      </w:r>
    </w:p>
    <w:p w14:paraId="4A2B21FF" w14:textId="77777777" w:rsidR="00CC5173" w:rsidRDefault="00CC5173" w:rsidP="00DD76B9">
      <w:pPr>
        <w:pStyle w:val="ListParagraph"/>
        <w:numPr>
          <w:ilvl w:val="1"/>
          <w:numId w:val="2"/>
        </w:numPr>
      </w:pPr>
      <w:r>
        <w:t>Western White Pine</w:t>
      </w:r>
    </w:p>
    <w:p w14:paraId="73C422E7" w14:textId="77777777" w:rsidR="00CC5173" w:rsidRDefault="00CC5173" w:rsidP="00DD76B9">
      <w:pPr>
        <w:pStyle w:val="ListParagraph"/>
      </w:pPr>
      <w:r>
        <w:t>Crosswalk to EVeg: Regional Dominance Type 2</w:t>
      </w:r>
    </w:p>
    <w:p w14:paraId="467BEE01" w14:textId="77777777" w:rsidR="00CC5173" w:rsidRDefault="00CC5173" w:rsidP="00DD76B9">
      <w:pPr>
        <w:pStyle w:val="ListParagraph"/>
        <w:numPr>
          <w:ilvl w:val="1"/>
          <w:numId w:val="2"/>
        </w:numPr>
      </w:pPr>
      <w:r>
        <w:t>Any</w:t>
      </w:r>
    </w:p>
    <w:p w14:paraId="1B668065" w14:textId="77777777" w:rsidR="00CC5173" w:rsidRDefault="00CC5173" w:rsidP="00DD76B9">
      <w:pPr>
        <w:pStyle w:val="ListParagraph"/>
      </w:pPr>
      <w:r>
        <w:t>Crosswalk to Presettlement Fire Regime Type</w:t>
      </w:r>
    </w:p>
    <w:p w14:paraId="465868F9" w14:textId="77777777" w:rsidR="00CC5173" w:rsidRDefault="00CC5173" w:rsidP="00DD76B9">
      <w:pPr>
        <w:pStyle w:val="ListParagraph"/>
        <w:numPr>
          <w:ilvl w:val="1"/>
          <w:numId w:val="2"/>
        </w:numPr>
      </w:pPr>
      <w:r>
        <w:t>Western White Pine</w:t>
      </w:r>
    </w:p>
    <w:p w14:paraId="48C000D5" w14:textId="77777777" w:rsidR="00CC5173" w:rsidRDefault="00CC5173" w:rsidP="00DD76B9">
      <w:pPr>
        <w:pStyle w:val="ListParagraph"/>
      </w:pPr>
      <w:r>
        <w:t>Crosswalk to LandFire Biophysical Settings</w:t>
      </w:r>
    </w:p>
    <w:p w14:paraId="08ECC632" w14:textId="77777777" w:rsidR="00CC5173" w:rsidRPr="00CC5173" w:rsidRDefault="00CC5173" w:rsidP="00DD76B9">
      <w:pPr>
        <w:pStyle w:val="ListParagraph"/>
        <w:numPr>
          <w:ilvl w:val="1"/>
          <w:numId w:val="2"/>
        </w:numPr>
      </w:pPr>
      <w:r w:rsidRPr="00CC5173">
        <w:t>0711720</w:t>
      </w:r>
      <w:r>
        <w:t>:</w:t>
      </w:r>
      <w:r w:rsidRPr="00CC5173">
        <w:rPr>
          <w:rFonts w:ascii="Calibri" w:eastAsiaTheme="minorEastAsia" w:hAnsi="Calibri"/>
          <w:noProof w:val="0"/>
          <w:color w:val="000000"/>
          <w:sz w:val="20"/>
        </w:rPr>
        <w:t xml:space="preserve"> </w:t>
      </w:r>
      <w:r w:rsidRPr="00CC5173">
        <w:t xml:space="preserve">Sierran-Intermontane Desert Western White Pine-White Fir Woodland  </w:t>
      </w:r>
    </w:p>
    <w:p w14:paraId="7E7C2555" w14:textId="77777777" w:rsidR="00E0141E" w:rsidRDefault="00E0141E" w:rsidP="00DD76B9"/>
    <w:p w14:paraId="7BB11E6B" w14:textId="77777777" w:rsidR="00CC5173" w:rsidRPr="00C6737B" w:rsidRDefault="00CC5173" w:rsidP="00DD76B9">
      <w:pPr>
        <w:keepNext/>
        <w:spacing w:before="120" w:after="120"/>
        <w:outlineLvl w:val="2"/>
        <w:rPr>
          <w:b/>
          <w:bCs/>
          <w:sz w:val="32"/>
        </w:rPr>
      </w:pPr>
      <w:r w:rsidRPr="00C6737B">
        <w:rPr>
          <w:b/>
          <w:bCs/>
          <w:sz w:val="32"/>
        </w:rPr>
        <w:t>Vegetation Description</w:t>
      </w:r>
    </w:p>
    <w:p w14:paraId="54E8E87B" w14:textId="77777777" w:rsidR="00DD76B9" w:rsidRDefault="00E0141E" w:rsidP="00DD76B9">
      <w:pPr>
        <w:jc w:val="left"/>
      </w:pPr>
      <w:r>
        <w:rPr>
          <w:i/>
        </w:rPr>
        <w:t xml:space="preserve">Pinus monticola </w:t>
      </w:r>
      <w:r>
        <w:t>is locally abundant in subalpine habitats along the west slope of the Sierra Nevada, where it may occur in small pure stands</w:t>
      </w:r>
      <w:r w:rsidR="00DD76B9">
        <w:t>. M</w:t>
      </w:r>
      <w:r>
        <w:t>ore commonly</w:t>
      </w:r>
      <w:r w:rsidR="00DD76B9">
        <w:t>, it mixes</w:t>
      </w:r>
      <w:r>
        <w:t xml:space="preserve"> with </w:t>
      </w:r>
      <w:r>
        <w:rPr>
          <w:i/>
        </w:rPr>
        <w:t>Pinus contorta</w:t>
      </w:r>
      <w:r>
        <w:t xml:space="preserve"> ssp. </w:t>
      </w:r>
      <w:r>
        <w:rPr>
          <w:i/>
        </w:rPr>
        <w:t>murrayana, Pinus jeffreyi, Tsuga mertensiana</w:t>
      </w:r>
      <w:r>
        <w:t xml:space="preserve">, and </w:t>
      </w:r>
      <w:r>
        <w:rPr>
          <w:i/>
        </w:rPr>
        <w:t>Abies magnifica</w:t>
      </w:r>
      <w:r w:rsidR="00DD76B9">
        <w:t xml:space="preserve"> at higher elevations and </w:t>
      </w:r>
      <w:r w:rsidR="00DD76B9">
        <w:rPr>
          <w:i/>
        </w:rPr>
        <w:t>Abies concolor</w:t>
      </w:r>
      <w:r w:rsidR="00DD76B9">
        <w:t xml:space="preserve"> or </w:t>
      </w:r>
      <w:r w:rsidR="00DD76B9">
        <w:rPr>
          <w:i/>
        </w:rPr>
        <w:t>Pinus ponderosa</w:t>
      </w:r>
      <w:r w:rsidR="00DD76B9">
        <w:t xml:space="preserve"> at lower elevations (Fites-Kaufman et al. 2007, LandFire 2007).</w:t>
      </w:r>
    </w:p>
    <w:p w14:paraId="062B8909" w14:textId="77777777" w:rsidR="00E0141E" w:rsidRDefault="00DD76B9" w:rsidP="00DD76B9">
      <w:pPr>
        <w:ind w:firstLine="360"/>
        <w:jc w:val="left"/>
      </w:pPr>
      <w:r w:rsidRPr="00E0141E">
        <w:t>This system tends to be more woodland than forest in character, and the undergrowth is more open and drier, with little shrub or herbaceous cover. Tree regeneration is less prolific than in other mixed-montane conifer systems of the Cascades, Sierras and California Coast Ranges</w:t>
      </w:r>
      <w:r>
        <w:t xml:space="preserve"> (LandFire 2007)</w:t>
      </w:r>
      <w:r w:rsidRPr="00E0141E">
        <w:t xml:space="preserve">. </w:t>
      </w:r>
      <w:r w:rsidR="00E0141E">
        <w:rPr>
          <w:i/>
        </w:rPr>
        <w:t>P. monticola</w:t>
      </w:r>
      <w:r w:rsidR="00E0141E">
        <w:t xml:space="preserve"> generally maintains a tree form of growth up nearly to treeline, where it is commonly replaced by other subalpine species on rocky ridges (Fites-Kaufman et al. 2007).</w:t>
      </w:r>
    </w:p>
    <w:p w14:paraId="4F34C349" w14:textId="77777777" w:rsidR="00DD76B9" w:rsidRPr="00E0141E" w:rsidRDefault="00DD76B9" w:rsidP="00DD76B9">
      <w:pPr>
        <w:ind w:firstLine="360"/>
        <w:jc w:val="left"/>
      </w:pPr>
      <w:r w:rsidRPr="00E0141E">
        <w:t xml:space="preserve">These forests and woodlands are marked by the absence of </w:t>
      </w:r>
      <w:r w:rsidRPr="00DD76B9">
        <w:rPr>
          <w:i/>
        </w:rPr>
        <w:t>Pseudotsuga menziesii</w:t>
      </w:r>
      <w:r w:rsidRPr="00E0141E">
        <w:t xml:space="preserve">, </w:t>
      </w:r>
      <w:r w:rsidRPr="00DD76B9">
        <w:rPr>
          <w:i/>
        </w:rPr>
        <w:t>Pinus lambertiana</w:t>
      </w:r>
      <w:r w:rsidRPr="00E0141E">
        <w:t xml:space="preserve">, and </w:t>
      </w:r>
      <w:r w:rsidRPr="00DD76B9">
        <w:rPr>
          <w:i/>
        </w:rPr>
        <w:t>Calocedrus decurrens</w:t>
      </w:r>
      <w:r w:rsidRPr="00E0141E">
        <w:t>, and the generally drier, continental climatic conditions. In addition, the overall floristic affinities are with the Great Basi</w:t>
      </w:r>
      <w:r>
        <w:t>n (LandFire 2007).</w:t>
      </w:r>
    </w:p>
    <w:p w14:paraId="36349705" w14:textId="77777777" w:rsidR="00DD76B9" w:rsidRPr="00E0141E" w:rsidRDefault="00DD76B9" w:rsidP="00DD76B9">
      <w:pPr>
        <w:ind w:firstLine="360"/>
        <w:jc w:val="left"/>
      </w:pPr>
      <w:r w:rsidRPr="00E0141E">
        <w:t xml:space="preserve">Understories are typically open, with moderately low shrub cover and diversity, and include </w:t>
      </w:r>
      <w:r w:rsidRPr="00DD76B9">
        <w:rPr>
          <w:i/>
        </w:rPr>
        <w:t>Arctostaphylos</w:t>
      </w:r>
      <w:r w:rsidRPr="00E0141E">
        <w:t xml:space="preserve">, </w:t>
      </w:r>
      <w:r w:rsidRPr="00DD76B9">
        <w:rPr>
          <w:i/>
        </w:rPr>
        <w:t>Chrysolepis</w:t>
      </w:r>
      <w:r w:rsidRPr="00E0141E">
        <w:t xml:space="preserve">, </w:t>
      </w:r>
      <w:r w:rsidRPr="00DD76B9">
        <w:rPr>
          <w:i/>
        </w:rPr>
        <w:t>Ceanothus</w:t>
      </w:r>
      <w:r w:rsidRPr="00E0141E">
        <w:t xml:space="preserve">, and </w:t>
      </w:r>
      <w:r w:rsidRPr="00DD76B9">
        <w:rPr>
          <w:i/>
        </w:rPr>
        <w:t>Ribes</w:t>
      </w:r>
      <w:r w:rsidRPr="00E0141E">
        <w:t xml:space="preserve">. Common herbaceous taxa include </w:t>
      </w:r>
      <w:r w:rsidRPr="00DD76B9">
        <w:rPr>
          <w:i/>
        </w:rPr>
        <w:t>Arnica</w:t>
      </w:r>
      <w:r w:rsidRPr="00E0141E">
        <w:t xml:space="preserve">, </w:t>
      </w:r>
      <w:r w:rsidRPr="00DD76B9">
        <w:rPr>
          <w:i/>
        </w:rPr>
        <w:t>Festuca</w:t>
      </w:r>
      <w:r w:rsidRPr="00E0141E">
        <w:t xml:space="preserve">, </w:t>
      </w:r>
      <w:r w:rsidRPr="00DD76B9">
        <w:rPr>
          <w:i/>
        </w:rPr>
        <w:t>Poa</w:t>
      </w:r>
      <w:r w:rsidRPr="00E0141E">
        <w:t xml:space="preserve">, </w:t>
      </w:r>
      <w:r w:rsidRPr="00DD76B9">
        <w:rPr>
          <w:i/>
        </w:rPr>
        <w:t>Carex</w:t>
      </w:r>
      <w:r w:rsidRPr="00E0141E">
        <w:t xml:space="preserve">, </w:t>
      </w:r>
      <w:r w:rsidRPr="00DD76B9">
        <w:rPr>
          <w:i/>
        </w:rPr>
        <w:t>Pyrola</w:t>
      </w:r>
      <w:r w:rsidRPr="00E0141E">
        <w:t xml:space="preserve">, and </w:t>
      </w:r>
      <w:r w:rsidRPr="00DD76B9">
        <w:rPr>
          <w:i/>
        </w:rPr>
        <w:t>Hieracium</w:t>
      </w:r>
      <w:r w:rsidRPr="00E0141E">
        <w:t xml:space="preserve">. In openings, </w:t>
      </w:r>
      <w:r w:rsidRPr="00DD76B9">
        <w:rPr>
          <w:i/>
        </w:rPr>
        <w:t>Wyethia</w:t>
      </w:r>
      <w:r w:rsidRPr="00E0141E">
        <w:t xml:space="preserve"> </w:t>
      </w:r>
      <w:r>
        <w:t>can be abundant (LandFire 2007).</w:t>
      </w:r>
    </w:p>
    <w:p w14:paraId="1A9269F1" w14:textId="77777777" w:rsidR="00E0141E" w:rsidRDefault="00E0141E" w:rsidP="00DD76B9">
      <w:pPr>
        <w:tabs>
          <w:tab w:val="left" w:pos="1040"/>
        </w:tabs>
      </w:pPr>
    </w:p>
    <w:p w14:paraId="7DF71531" w14:textId="77777777" w:rsidR="00E0141E" w:rsidRPr="00D22BAD" w:rsidRDefault="00E0141E" w:rsidP="00DD76B9">
      <w:pPr>
        <w:keepNext/>
        <w:outlineLvl w:val="2"/>
        <w:rPr>
          <w:b/>
          <w:bCs/>
          <w:sz w:val="32"/>
        </w:rPr>
      </w:pPr>
      <w:r w:rsidRPr="00D22BAD">
        <w:rPr>
          <w:b/>
          <w:bCs/>
          <w:sz w:val="32"/>
        </w:rPr>
        <w:t>Distribution</w:t>
      </w:r>
    </w:p>
    <w:p w14:paraId="0AF5066B" w14:textId="77777777" w:rsidR="00DD76B9" w:rsidRPr="00DD76B9" w:rsidRDefault="00DD76B9" w:rsidP="00DD76B9">
      <w:pPr>
        <w:jc w:val="left"/>
      </w:pPr>
      <w:r w:rsidRPr="00DD76B9">
        <w:t xml:space="preserve">These forests and woodlands range from just above the zone of </w:t>
      </w:r>
      <w:r>
        <w:rPr>
          <w:i/>
        </w:rPr>
        <w:t>P. ponderosa</w:t>
      </w:r>
      <w:r w:rsidRPr="00DD76B9">
        <w:t xml:space="preserve"> in the montane zone, to the upper montane zone. Elevations range from 1370</w:t>
      </w:r>
      <w:r>
        <w:t xml:space="preserve"> </w:t>
      </w:r>
      <w:r w:rsidRPr="00DD76B9">
        <w:t>m to over 2135</w:t>
      </w:r>
      <w:r>
        <w:t xml:space="preserve"> </w:t>
      </w:r>
      <w:r w:rsidRPr="00DD76B9">
        <w:t>m (4500-7000</w:t>
      </w:r>
      <w:r>
        <w:t xml:space="preserve"> ft). </w:t>
      </w:r>
      <w:r w:rsidRPr="00DD76B9">
        <w:t>Occurrences are found on all slopes and aspects, although</w:t>
      </w:r>
      <w:r>
        <w:t xml:space="preserve"> more frequently on drier areas</w:t>
      </w:r>
      <w:r w:rsidRPr="00DD76B9">
        <w:t>. This ecological system generally occurs on basalts, andesite, glacial till, basaltic rubble, colluvium</w:t>
      </w:r>
      <w:r>
        <w:t>, or volcanic ash-derived soils</w:t>
      </w:r>
      <w:r w:rsidRPr="00DD76B9">
        <w:t>. These soils have characteristic features of good aeration and drainage, coarse textures, circumneutral to slightly acidic pH, an abundance of mineral material, rockiness, and periods of drought during the growing season. Climatically, this system occurs somewhat in the rainshadow of the Sierras and has a more continental regime, similar to the northern Great Basin</w:t>
      </w:r>
      <w:r>
        <w:t xml:space="preserve"> (LandFire 2007)</w:t>
      </w:r>
      <w:r w:rsidRPr="00DD76B9">
        <w:t>.</w:t>
      </w:r>
    </w:p>
    <w:p w14:paraId="7503F608" w14:textId="77777777" w:rsidR="00E0141E" w:rsidRDefault="00E0141E" w:rsidP="00DD76B9"/>
    <w:p w14:paraId="340295D5" w14:textId="77777777" w:rsidR="00DD76B9" w:rsidRPr="0008738B" w:rsidRDefault="00DD76B9" w:rsidP="00DD76B9">
      <w:pPr>
        <w:spacing w:after="120"/>
        <w:rPr>
          <w:b/>
          <w:sz w:val="36"/>
        </w:rPr>
      </w:pPr>
      <w:r w:rsidRPr="0008738B">
        <w:rPr>
          <w:b/>
          <w:sz w:val="36"/>
        </w:rPr>
        <w:lastRenderedPageBreak/>
        <w:t>Disturbances</w:t>
      </w:r>
    </w:p>
    <w:p w14:paraId="623AC8D8" w14:textId="77777777" w:rsidR="00E0141E" w:rsidRPr="0008738B" w:rsidRDefault="00E0141E" w:rsidP="00DD76B9">
      <w:pPr>
        <w:keepNext/>
        <w:spacing w:after="120"/>
        <w:outlineLvl w:val="2"/>
        <w:rPr>
          <w:b/>
          <w:bCs/>
          <w:sz w:val="32"/>
        </w:rPr>
      </w:pPr>
      <w:r w:rsidRPr="0008738B">
        <w:rPr>
          <w:b/>
          <w:bCs/>
          <w:sz w:val="32"/>
        </w:rPr>
        <w:t>Wildfire</w:t>
      </w:r>
    </w:p>
    <w:p w14:paraId="0437F6B7" w14:textId="77777777" w:rsidR="00E0141E" w:rsidRDefault="00E0141E" w:rsidP="00DD76B9"/>
    <w:p w14:paraId="720081B3" w14:textId="77777777" w:rsidR="00E0141E" w:rsidRDefault="0084599A" w:rsidP="00DD76B9">
      <w:pPr>
        <w:jc w:val="left"/>
      </w:pPr>
      <w:r>
        <w:t xml:space="preserve">Most fires in this type are low mortality fires that allow large areas of the landscape to develop mature characteristics. Occasional severe fires are driven by weather extremes (LandFire 2007). Young trees are very susceptible to mortality from fire, but mature </w:t>
      </w:r>
      <w:r>
        <w:rPr>
          <w:i/>
        </w:rPr>
        <w:t>P. monticola</w:t>
      </w:r>
      <w:r>
        <w:t xml:space="preserve"> is moderately fire resistant. After a stand-replacing fire, </w:t>
      </w:r>
      <w:r>
        <w:rPr>
          <w:i/>
        </w:rPr>
        <w:t xml:space="preserve">P. monticola </w:t>
      </w:r>
      <w:r>
        <w:t xml:space="preserve">will seed in from adjacent areas. After a cool to moderate fire that leaves a mosaic of mineral soil and duff, it will reoccupy the site from seed stored in the seed bank. Overall, </w:t>
      </w:r>
      <w:r>
        <w:rPr>
          <w:i/>
        </w:rPr>
        <w:t>P. monticola</w:t>
      </w:r>
      <w:r>
        <w:t xml:space="preserve"> is a fire-dependent, seral species. Fire suppression has resulted in decreased stocking levels. Periodic, stand-replacing fire or other disturbance is needed to remove competing conifers and allow </w:t>
      </w:r>
      <w:r>
        <w:rPr>
          <w:i/>
        </w:rPr>
        <w:t>P. monticola</w:t>
      </w:r>
      <w:r>
        <w:t xml:space="preserve"> to develop (Griffith 1992). </w:t>
      </w:r>
    </w:p>
    <w:p w14:paraId="01C101C6" w14:textId="63B425BC" w:rsidR="0084599A" w:rsidRDefault="00BD052E" w:rsidP="00DD76B9">
      <w:pPr>
        <w:jc w:val="left"/>
      </w:pPr>
      <w:r>
        <w:rPr>
          <w:szCs w:val="24"/>
        </w:rPr>
        <w:tab/>
        <w:t xml:space="preserve">Data on fire return intervals (FRIs) are available from a few review papers. Van de Water and Safford’s 2011 review paper aggregates hundreds of articles, conference proceedings, and LandFire data on fire return intervals, with an emphasis on Californian sources. </w:t>
      </w:r>
      <w:r w:rsidR="00B47E6E">
        <w:t>For Western white pine, they report</w:t>
      </w:r>
      <w:r w:rsidR="00B47E6E" w:rsidRPr="006F682A">
        <w:t xml:space="preserve"> a mean </w:t>
      </w:r>
      <w:r w:rsidR="00B47E6E">
        <w:t>FRI</w:t>
      </w:r>
      <w:r w:rsidR="00B47E6E" w:rsidRPr="006F682A">
        <w:t xml:space="preserve"> of </w:t>
      </w:r>
      <w:r w:rsidR="00B47E6E">
        <w:t>50</w:t>
      </w:r>
      <w:r w:rsidR="00B47E6E" w:rsidRPr="006F682A">
        <w:t xml:space="preserve"> years, median of </w:t>
      </w:r>
      <w:r w:rsidR="00B47E6E">
        <w:t>42</w:t>
      </w:r>
      <w:r w:rsidR="00B47E6E" w:rsidRPr="006F682A">
        <w:t xml:space="preserve"> years, mean min of </w:t>
      </w:r>
      <w:r w:rsidR="00B47E6E">
        <w:t>15</w:t>
      </w:r>
      <w:r w:rsidR="00B47E6E" w:rsidRPr="006F682A">
        <w:t xml:space="preserve"> years and mean max of </w:t>
      </w:r>
      <w:r w:rsidR="00B47E6E">
        <w:t>370</w:t>
      </w:r>
      <w:r w:rsidR="00B47E6E" w:rsidRPr="006F682A">
        <w:t xml:space="preserve"> years.</w:t>
      </w:r>
      <w:r w:rsidR="00B47E6E">
        <w:t xml:space="preserve"> </w:t>
      </w:r>
      <w:r>
        <w:rPr>
          <w:szCs w:val="24"/>
        </w:rPr>
        <w:t xml:space="preserve">We also include here data from the </w:t>
      </w:r>
      <w:r w:rsidR="00B47E6E">
        <w:rPr>
          <w:szCs w:val="24"/>
        </w:rPr>
        <w:t xml:space="preserve">LandFire BpS model (2007), which estimates a mean FRI for replacement fire of 200 years, mean FRI for mixed fire 65 years, mean FRI for surface fire at 45 years, with an overall mean FRI of 23 years. </w:t>
      </w:r>
      <w:r w:rsidR="00B47E6E">
        <w:t>We recalculated these numbers using condition-specific information and using only high and low mortality fire categories, which resulted in a mean FRI of 133 years for high mortality fire, 28 years for low mortality fire, and 23 years for any fire.</w:t>
      </w:r>
    </w:p>
    <w:p w14:paraId="2429B987" w14:textId="22515440" w:rsidR="00B47E6E" w:rsidRDefault="00B47E6E" w:rsidP="00B47E6E">
      <w:pPr>
        <w:pStyle w:val="Table"/>
        <w:keepNext/>
        <w:spacing w:before="240" w:after="120"/>
        <w:jc w:val="left"/>
        <w:rPr>
          <w:sz w:val="22"/>
          <w:szCs w:val="24"/>
        </w:rPr>
      </w:pPr>
      <w:r w:rsidRPr="00B773B3">
        <w:rPr>
          <w:sz w:val="22"/>
          <w:szCs w:val="24"/>
        </w:rPr>
        <w:t xml:space="preserve">Table 1. Fire return intervals (years) and percentage of high versus low mortality fires. Numbers were derived from BpS model </w:t>
      </w:r>
      <w:r>
        <w:rPr>
          <w:sz w:val="22"/>
          <w:szCs w:val="24"/>
        </w:rPr>
        <w:t>0711720</w:t>
      </w:r>
      <w:r w:rsidRPr="00B773B3">
        <w:rPr>
          <w:sz w:val="22"/>
          <w:szCs w:val="24"/>
        </w:rPr>
        <w:t xml:space="preserve"> </w:t>
      </w:r>
      <w:r>
        <w:rPr>
          <w:sz w:val="22"/>
          <w:szCs w:val="24"/>
        </w:rPr>
        <w:t xml:space="preserve">(LandFire 2007) </w:t>
      </w:r>
      <w:r w:rsidRPr="00B773B3">
        <w:rPr>
          <w:sz w:val="22"/>
          <w:szCs w:val="24"/>
        </w:rPr>
        <w:t xml:space="preserve">and </w:t>
      </w:r>
      <w:r>
        <w:rPr>
          <w:sz w:val="22"/>
          <w:szCs w:val="24"/>
        </w:rPr>
        <w:t>Van de Water and Safford</w:t>
      </w:r>
      <w:r w:rsidRPr="00B773B3">
        <w:rPr>
          <w:sz w:val="22"/>
          <w:szCs w:val="24"/>
        </w:rPr>
        <w:t xml:space="preserve"> (</w:t>
      </w:r>
      <w:r>
        <w:rPr>
          <w:sz w:val="22"/>
          <w:szCs w:val="24"/>
        </w:rPr>
        <w:t>2011</w:t>
      </w:r>
      <w:r w:rsidRPr="00B773B3">
        <w:rPr>
          <w:sz w:val="22"/>
          <w:szCs w:val="24"/>
        </w:rPr>
        <w:t xml:space="preserve">). </w:t>
      </w:r>
    </w:p>
    <w:tbl>
      <w:tblPr>
        <w:tblW w:w="7800" w:type="dxa"/>
        <w:jc w:val="center"/>
        <w:tblInd w:w="93" w:type="dxa"/>
        <w:tblLook w:val="04A0" w:firstRow="1" w:lastRow="0" w:firstColumn="1" w:lastColumn="0" w:noHBand="0" w:noVBand="1"/>
      </w:tblPr>
      <w:tblGrid>
        <w:gridCol w:w="1300"/>
        <w:gridCol w:w="1300"/>
        <w:gridCol w:w="1300"/>
        <w:gridCol w:w="1300"/>
        <w:gridCol w:w="1300"/>
        <w:gridCol w:w="1300"/>
      </w:tblGrid>
      <w:tr w:rsidR="00B47E6E" w:rsidRPr="00EC5F24" w14:paraId="5FEB4701" w14:textId="77777777" w:rsidTr="00B47E6E">
        <w:trPr>
          <w:trHeight w:val="300"/>
          <w:jc w:val="center"/>
        </w:trPr>
        <w:tc>
          <w:tcPr>
            <w:tcW w:w="1300" w:type="dxa"/>
            <w:tcBorders>
              <w:top w:val="single" w:sz="4" w:space="0" w:color="auto"/>
              <w:left w:val="nil"/>
              <w:bottom w:val="single" w:sz="4" w:space="0" w:color="auto"/>
              <w:right w:val="nil"/>
            </w:tcBorders>
            <w:shd w:val="clear" w:color="auto" w:fill="auto"/>
            <w:noWrap/>
            <w:vAlign w:val="center"/>
            <w:hideMark/>
          </w:tcPr>
          <w:p w14:paraId="6FBF276A" w14:textId="77777777" w:rsidR="00B47E6E" w:rsidRPr="00EC5F24" w:rsidRDefault="00B47E6E" w:rsidP="00B47E6E">
            <w:pPr>
              <w:keepNext/>
              <w:keepLines/>
              <w:ind w:left="360" w:hanging="360"/>
              <w:jc w:val="center"/>
              <w:outlineLvl w:val="8"/>
              <w:rPr>
                <w:b/>
                <w:color w:val="000000"/>
              </w:rPr>
            </w:pPr>
            <w:r w:rsidRPr="00EC5F24">
              <w:rPr>
                <w:b/>
                <w:color w:val="000000"/>
              </w:rPr>
              <w:t>Variant</w:t>
            </w:r>
          </w:p>
        </w:tc>
        <w:tc>
          <w:tcPr>
            <w:tcW w:w="1300" w:type="dxa"/>
            <w:tcBorders>
              <w:top w:val="single" w:sz="4" w:space="0" w:color="auto"/>
              <w:left w:val="nil"/>
              <w:bottom w:val="single" w:sz="4" w:space="0" w:color="auto"/>
              <w:right w:val="nil"/>
            </w:tcBorders>
            <w:shd w:val="clear" w:color="auto" w:fill="auto"/>
            <w:noWrap/>
            <w:vAlign w:val="center"/>
            <w:hideMark/>
          </w:tcPr>
          <w:p w14:paraId="1357F044" w14:textId="77777777" w:rsidR="00B47E6E" w:rsidRPr="00EC5F24" w:rsidRDefault="00B47E6E" w:rsidP="00B47E6E">
            <w:pPr>
              <w:keepNext/>
              <w:keepLines/>
              <w:jc w:val="center"/>
              <w:outlineLvl w:val="8"/>
              <w:rPr>
                <w:b/>
                <w:color w:val="000000"/>
              </w:rPr>
            </w:pPr>
            <w:r w:rsidRPr="00EC5F24">
              <w:rPr>
                <w:b/>
                <w:color w:val="000000"/>
              </w:rPr>
              <w:t xml:space="preserve">Fire </w:t>
            </w:r>
            <w:r>
              <w:rPr>
                <w:b/>
                <w:color w:val="000000"/>
              </w:rPr>
              <w:t>Mortality</w:t>
            </w:r>
          </w:p>
        </w:tc>
        <w:tc>
          <w:tcPr>
            <w:tcW w:w="1300" w:type="dxa"/>
            <w:tcBorders>
              <w:top w:val="single" w:sz="4" w:space="0" w:color="auto"/>
              <w:left w:val="nil"/>
              <w:bottom w:val="single" w:sz="4" w:space="0" w:color="auto"/>
              <w:right w:val="nil"/>
            </w:tcBorders>
            <w:shd w:val="clear" w:color="auto" w:fill="auto"/>
            <w:noWrap/>
            <w:vAlign w:val="center"/>
            <w:hideMark/>
          </w:tcPr>
          <w:p w14:paraId="2FA923C4" w14:textId="77777777" w:rsidR="00B47E6E" w:rsidRPr="00EC5F24" w:rsidRDefault="00B47E6E" w:rsidP="00B47E6E">
            <w:pPr>
              <w:jc w:val="center"/>
              <w:rPr>
                <w:b/>
                <w:color w:val="000000"/>
              </w:rPr>
            </w:pPr>
            <w:r>
              <w:rPr>
                <w:b/>
                <w:color w:val="000000"/>
              </w:rPr>
              <w:t>Mean</w:t>
            </w:r>
          </w:p>
        </w:tc>
        <w:tc>
          <w:tcPr>
            <w:tcW w:w="1300" w:type="dxa"/>
            <w:tcBorders>
              <w:top w:val="single" w:sz="4" w:space="0" w:color="auto"/>
              <w:left w:val="nil"/>
              <w:bottom w:val="single" w:sz="4" w:space="0" w:color="auto"/>
              <w:right w:val="nil"/>
            </w:tcBorders>
            <w:shd w:val="clear" w:color="auto" w:fill="auto"/>
            <w:noWrap/>
            <w:vAlign w:val="center"/>
            <w:hideMark/>
          </w:tcPr>
          <w:p w14:paraId="06CDDF7D" w14:textId="77777777" w:rsidR="00B47E6E" w:rsidRPr="00EC5F24" w:rsidRDefault="00B47E6E" w:rsidP="00B47E6E">
            <w:pPr>
              <w:jc w:val="center"/>
              <w:rPr>
                <w:b/>
                <w:color w:val="000000"/>
              </w:rPr>
            </w:pPr>
            <w:r w:rsidRPr="00EC5F24">
              <w:rPr>
                <w:b/>
                <w:color w:val="000000"/>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23036440" w14:textId="77777777" w:rsidR="00B47E6E" w:rsidRPr="00EC5F24" w:rsidRDefault="00B47E6E" w:rsidP="00B47E6E">
            <w:pPr>
              <w:jc w:val="center"/>
              <w:rPr>
                <w:b/>
                <w:color w:val="000000"/>
              </w:rPr>
            </w:pPr>
            <w:r w:rsidRPr="00EC5F24">
              <w:rPr>
                <w:b/>
                <w:color w:val="000000"/>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5429BAAC" w14:textId="77777777" w:rsidR="00B47E6E" w:rsidRPr="00EC5F24" w:rsidRDefault="00B47E6E" w:rsidP="00B47E6E">
            <w:pPr>
              <w:jc w:val="center"/>
              <w:rPr>
                <w:b/>
                <w:color w:val="000000"/>
              </w:rPr>
            </w:pPr>
            <w:r w:rsidRPr="00EC5F24">
              <w:rPr>
                <w:b/>
                <w:color w:val="000000"/>
              </w:rPr>
              <w:t>% of Fires</w:t>
            </w:r>
          </w:p>
        </w:tc>
      </w:tr>
      <w:tr w:rsidR="00B47E6E" w:rsidRPr="00571334" w14:paraId="2E2F19BC" w14:textId="77777777" w:rsidTr="00B47E6E">
        <w:trPr>
          <w:trHeight w:val="300"/>
          <w:jc w:val="center"/>
        </w:trPr>
        <w:tc>
          <w:tcPr>
            <w:tcW w:w="1300" w:type="dxa"/>
            <w:vMerge w:val="restart"/>
            <w:tcBorders>
              <w:top w:val="single" w:sz="4" w:space="0" w:color="auto"/>
              <w:left w:val="nil"/>
              <w:bottom w:val="single" w:sz="4" w:space="0" w:color="auto"/>
              <w:right w:val="nil"/>
            </w:tcBorders>
            <w:shd w:val="clear" w:color="auto" w:fill="auto"/>
            <w:noWrap/>
            <w:vAlign w:val="center"/>
            <w:hideMark/>
          </w:tcPr>
          <w:p w14:paraId="600FC821" w14:textId="6E1EB912" w:rsidR="00B47E6E" w:rsidRPr="007D4AD1" w:rsidRDefault="00B47E6E" w:rsidP="00B47E6E">
            <w:pPr>
              <w:keepNext/>
              <w:keepLines/>
              <w:jc w:val="center"/>
              <w:outlineLvl w:val="8"/>
              <w:rPr>
                <w:color w:val="000000"/>
              </w:rPr>
            </w:pPr>
            <w:r>
              <w:rPr>
                <w:color w:val="000000"/>
              </w:rPr>
              <w:t>WWP</w:t>
            </w:r>
          </w:p>
        </w:tc>
        <w:tc>
          <w:tcPr>
            <w:tcW w:w="1300" w:type="dxa"/>
            <w:tcBorders>
              <w:top w:val="nil"/>
              <w:left w:val="nil"/>
              <w:bottom w:val="nil"/>
              <w:right w:val="nil"/>
            </w:tcBorders>
            <w:shd w:val="clear" w:color="auto" w:fill="auto"/>
            <w:vAlign w:val="center"/>
            <w:hideMark/>
          </w:tcPr>
          <w:p w14:paraId="587D80DD" w14:textId="77777777" w:rsidR="00B47E6E" w:rsidRPr="00571334" w:rsidRDefault="00B47E6E" w:rsidP="00B47E6E">
            <w:pPr>
              <w:jc w:val="center"/>
              <w:rPr>
                <w:color w:val="000000"/>
              </w:rPr>
            </w:pPr>
            <w:r w:rsidRPr="00571334">
              <w:rPr>
                <w:color w:val="000000"/>
              </w:rPr>
              <w:t>High</w:t>
            </w:r>
          </w:p>
        </w:tc>
        <w:tc>
          <w:tcPr>
            <w:tcW w:w="1300" w:type="dxa"/>
            <w:tcBorders>
              <w:top w:val="nil"/>
              <w:left w:val="nil"/>
              <w:bottom w:val="nil"/>
              <w:right w:val="nil"/>
            </w:tcBorders>
            <w:shd w:val="clear" w:color="auto" w:fill="auto"/>
            <w:vAlign w:val="center"/>
            <w:hideMark/>
          </w:tcPr>
          <w:p w14:paraId="61C5872F" w14:textId="7822ABE2" w:rsidR="00B47E6E" w:rsidRPr="007D4AD1" w:rsidRDefault="00B47E6E" w:rsidP="00B47E6E">
            <w:pPr>
              <w:jc w:val="center"/>
              <w:rPr>
                <w:color w:val="000000"/>
              </w:rPr>
            </w:pPr>
            <w:r>
              <w:rPr>
                <w:color w:val="000000"/>
              </w:rPr>
              <w:t>133</w:t>
            </w:r>
          </w:p>
        </w:tc>
        <w:tc>
          <w:tcPr>
            <w:tcW w:w="1300" w:type="dxa"/>
            <w:tcBorders>
              <w:top w:val="nil"/>
              <w:left w:val="nil"/>
              <w:bottom w:val="nil"/>
              <w:right w:val="nil"/>
            </w:tcBorders>
            <w:shd w:val="clear" w:color="auto" w:fill="auto"/>
            <w:vAlign w:val="center"/>
            <w:hideMark/>
          </w:tcPr>
          <w:p w14:paraId="71DFFB4D" w14:textId="77777777" w:rsidR="00B47E6E" w:rsidRPr="007D4AD1" w:rsidRDefault="00B47E6E" w:rsidP="00B47E6E">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38B8A206" w14:textId="77777777" w:rsidR="00B47E6E" w:rsidRPr="007D4AD1" w:rsidRDefault="00B47E6E" w:rsidP="00B47E6E">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1E2C8D22" w14:textId="1CDEAB80" w:rsidR="00B47E6E" w:rsidRPr="007D4AD1" w:rsidRDefault="00B47E6E" w:rsidP="00B47E6E">
            <w:pPr>
              <w:jc w:val="center"/>
              <w:rPr>
                <w:color w:val="000000"/>
              </w:rPr>
            </w:pPr>
            <w:r>
              <w:rPr>
                <w:color w:val="000000"/>
              </w:rPr>
              <w:t>17</w:t>
            </w:r>
          </w:p>
        </w:tc>
      </w:tr>
      <w:tr w:rsidR="00B47E6E" w:rsidRPr="00571334" w14:paraId="2EEB4820" w14:textId="77777777" w:rsidTr="00B47E6E">
        <w:trPr>
          <w:trHeight w:val="300"/>
          <w:jc w:val="center"/>
        </w:trPr>
        <w:tc>
          <w:tcPr>
            <w:tcW w:w="1300" w:type="dxa"/>
            <w:vMerge/>
            <w:tcBorders>
              <w:top w:val="nil"/>
              <w:left w:val="nil"/>
              <w:bottom w:val="single" w:sz="4" w:space="0" w:color="auto"/>
              <w:right w:val="nil"/>
            </w:tcBorders>
            <w:vAlign w:val="center"/>
            <w:hideMark/>
          </w:tcPr>
          <w:p w14:paraId="5FFB069B" w14:textId="77777777" w:rsidR="00B47E6E" w:rsidRPr="00571334" w:rsidRDefault="00B47E6E" w:rsidP="00B47E6E">
            <w:pPr>
              <w:rPr>
                <w:color w:val="000000"/>
              </w:rPr>
            </w:pPr>
          </w:p>
        </w:tc>
        <w:tc>
          <w:tcPr>
            <w:tcW w:w="1300" w:type="dxa"/>
            <w:tcBorders>
              <w:top w:val="nil"/>
              <w:left w:val="nil"/>
              <w:right w:val="nil"/>
            </w:tcBorders>
            <w:shd w:val="clear" w:color="auto" w:fill="auto"/>
            <w:vAlign w:val="center"/>
            <w:hideMark/>
          </w:tcPr>
          <w:p w14:paraId="3C3942D3" w14:textId="77777777" w:rsidR="00B47E6E" w:rsidRPr="007D4AD1" w:rsidRDefault="00B47E6E" w:rsidP="00B47E6E">
            <w:pPr>
              <w:keepNext/>
              <w:keepLines/>
              <w:jc w:val="center"/>
              <w:outlineLvl w:val="8"/>
              <w:rPr>
                <w:color w:val="000000"/>
              </w:rPr>
            </w:pPr>
            <w:r w:rsidRPr="00571334">
              <w:rPr>
                <w:color w:val="000000"/>
              </w:rPr>
              <w:t>Low</w:t>
            </w:r>
          </w:p>
        </w:tc>
        <w:tc>
          <w:tcPr>
            <w:tcW w:w="1300" w:type="dxa"/>
            <w:tcBorders>
              <w:top w:val="nil"/>
              <w:left w:val="nil"/>
              <w:right w:val="nil"/>
            </w:tcBorders>
            <w:shd w:val="clear" w:color="auto" w:fill="auto"/>
            <w:vAlign w:val="center"/>
            <w:hideMark/>
          </w:tcPr>
          <w:p w14:paraId="7BC55C4F" w14:textId="71F1BAD7" w:rsidR="00B47E6E" w:rsidRPr="007D4AD1" w:rsidRDefault="00B47E6E" w:rsidP="00B47E6E">
            <w:pPr>
              <w:jc w:val="center"/>
              <w:rPr>
                <w:color w:val="000000"/>
              </w:rPr>
            </w:pPr>
            <w:r>
              <w:rPr>
                <w:color w:val="000000"/>
              </w:rPr>
              <w:t>28</w:t>
            </w:r>
          </w:p>
        </w:tc>
        <w:tc>
          <w:tcPr>
            <w:tcW w:w="1300" w:type="dxa"/>
            <w:tcBorders>
              <w:top w:val="nil"/>
              <w:left w:val="nil"/>
              <w:right w:val="nil"/>
            </w:tcBorders>
            <w:shd w:val="clear" w:color="auto" w:fill="auto"/>
            <w:vAlign w:val="center"/>
            <w:hideMark/>
          </w:tcPr>
          <w:p w14:paraId="5D7343B9" w14:textId="77777777" w:rsidR="00B47E6E" w:rsidRPr="007D4AD1" w:rsidRDefault="00B47E6E" w:rsidP="00B47E6E">
            <w:pPr>
              <w:jc w:val="center"/>
              <w:rPr>
                <w:color w:val="000000"/>
              </w:rPr>
            </w:pPr>
            <w:r>
              <w:rPr>
                <w:color w:val="000000"/>
              </w:rPr>
              <w:t>–</w:t>
            </w:r>
          </w:p>
        </w:tc>
        <w:tc>
          <w:tcPr>
            <w:tcW w:w="1300" w:type="dxa"/>
            <w:tcBorders>
              <w:top w:val="nil"/>
              <w:left w:val="nil"/>
              <w:right w:val="nil"/>
            </w:tcBorders>
            <w:shd w:val="clear" w:color="auto" w:fill="auto"/>
            <w:vAlign w:val="center"/>
            <w:hideMark/>
          </w:tcPr>
          <w:p w14:paraId="29FA0852" w14:textId="77777777" w:rsidR="00B47E6E" w:rsidRPr="007D4AD1" w:rsidRDefault="00B47E6E" w:rsidP="00B47E6E">
            <w:pPr>
              <w:jc w:val="center"/>
              <w:rPr>
                <w:color w:val="000000"/>
              </w:rPr>
            </w:pPr>
            <w:r>
              <w:rPr>
                <w:color w:val="000000"/>
              </w:rPr>
              <w:t>–</w:t>
            </w:r>
          </w:p>
        </w:tc>
        <w:tc>
          <w:tcPr>
            <w:tcW w:w="1300" w:type="dxa"/>
            <w:tcBorders>
              <w:top w:val="nil"/>
              <w:left w:val="nil"/>
              <w:right w:val="nil"/>
            </w:tcBorders>
            <w:shd w:val="clear" w:color="auto" w:fill="auto"/>
            <w:vAlign w:val="center"/>
            <w:hideMark/>
          </w:tcPr>
          <w:p w14:paraId="781DEBC8" w14:textId="568519E1" w:rsidR="00B47E6E" w:rsidRPr="007D4AD1" w:rsidRDefault="00B47E6E" w:rsidP="00B47E6E">
            <w:pPr>
              <w:jc w:val="center"/>
              <w:rPr>
                <w:color w:val="000000"/>
              </w:rPr>
            </w:pPr>
            <w:r>
              <w:rPr>
                <w:color w:val="000000"/>
              </w:rPr>
              <w:t>83</w:t>
            </w:r>
          </w:p>
        </w:tc>
      </w:tr>
      <w:tr w:rsidR="00B47E6E" w:rsidRPr="00571334" w14:paraId="65942CC1" w14:textId="77777777" w:rsidTr="00B47E6E">
        <w:trPr>
          <w:trHeight w:val="300"/>
          <w:jc w:val="center"/>
        </w:trPr>
        <w:tc>
          <w:tcPr>
            <w:tcW w:w="1300" w:type="dxa"/>
            <w:vMerge/>
            <w:tcBorders>
              <w:top w:val="nil"/>
              <w:left w:val="nil"/>
              <w:bottom w:val="single" w:sz="4" w:space="0" w:color="auto"/>
              <w:right w:val="nil"/>
            </w:tcBorders>
            <w:vAlign w:val="center"/>
            <w:hideMark/>
          </w:tcPr>
          <w:p w14:paraId="133ABFD5" w14:textId="77777777" w:rsidR="00B47E6E" w:rsidRPr="00571334" w:rsidRDefault="00B47E6E" w:rsidP="00B47E6E">
            <w:pPr>
              <w:rPr>
                <w:color w:val="000000"/>
              </w:rPr>
            </w:pPr>
          </w:p>
        </w:tc>
        <w:tc>
          <w:tcPr>
            <w:tcW w:w="1300" w:type="dxa"/>
            <w:tcBorders>
              <w:top w:val="nil"/>
              <w:left w:val="nil"/>
              <w:bottom w:val="single" w:sz="4" w:space="0" w:color="auto"/>
              <w:right w:val="nil"/>
            </w:tcBorders>
            <w:shd w:val="clear" w:color="auto" w:fill="auto"/>
            <w:vAlign w:val="center"/>
            <w:hideMark/>
          </w:tcPr>
          <w:p w14:paraId="4FDDF770" w14:textId="77777777" w:rsidR="00B47E6E" w:rsidRPr="007D4AD1" w:rsidRDefault="00B47E6E" w:rsidP="00B47E6E">
            <w:pPr>
              <w:keepNext/>
              <w:keepLines/>
              <w:jc w:val="center"/>
              <w:outlineLvl w:val="8"/>
              <w:rPr>
                <w:color w:val="000000"/>
              </w:rPr>
            </w:pPr>
            <w:r w:rsidRPr="00571334">
              <w:rPr>
                <w:color w:val="000000"/>
              </w:rPr>
              <w:t>All Fires</w:t>
            </w:r>
          </w:p>
        </w:tc>
        <w:tc>
          <w:tcPr>
            <w:tcW w:w="1300" w:type="dxa"/>
            <w:tcBorders>
              <w:top w:val="nil"/>
              <w:left w:val="nil"/>
              <w:bottom w:val="single" w:sz="4" w:space="0" w:color="auto"/>
              <w:right w:val="nil"/>
            </w:tcBorders>
            <w:shd w:val="clear" w:color="auto" w:fill="auto"/>
            <w:vAlign w:val="center"/>
            <w:hideMark/>
          </w:tcPr>
          <w:p w14:paraId="116A7236" w14:textId="616C479E" w:rsidR="00B47E6E" w:rsidRPr="007D4AD1" w:rsidRDefault="00B47E6E" w:rsidP="00B47E6E">
            <w:pPr>
              <w:jc w:val="center"/>
              <w:rPr>
                <w:color w:val="000000"/>
              </w:rPr>
            </w:pPr>
            <w:r>
              <w:rPr>
                <w:color w:val="000000"/>
              </w:rPr>
              <w:t>23</w:t>
            </w:r>
          </w:p>
        </w:tc>
        <w:tc>
          <w:tcPr>
            <w:tcW w:w="1300" w:type="dxa"/>
            <w:tcBorders>
              <w:top w:val="nil"/>
              <w:left w:val="nil"/>
              <w:bottom w:val="single" w:sz="4" w:space="0" w:color="auto"/>
              <w:right w:val="nil"/>
            </w:tcBorders>
            <w:shd w:val="clear" w:color="auto" w:fill="auto"/>
            <w:vAlign w:val="center"/>
            <w:hideMark/>
          </w:tcPr>
          <w:p w14:paraId="3BAC3205" w14:textId="4DD33D4D" w:rsidR="00B47E6E" w:rsidRPr="007D4AD1" w:rsidRDefault="00B47E6E" w:rsidP="00B47E6E">
            <w:pPr>
              <w:jc w:val="center"/>
              <w:rPr>
                <w:color w:val="000000"/>
              </w:rPr>
            </w:pPr>
            <w:r>
              <w:rPr>
                <w:color w:val="000000"/>
              </w:rPr>
              <w:t>15</w:t>
            </w:r>
          </w:p>
        </w:tc>
        <w:tc>
          <w:tcPr>
            <w:tcW w:w="1300" w:type="dxa"/>
            <w:tcBorders>
              <w:top w:val="nil"/>
              <w:left w:val="nil"/>
              <w:bottom w:val="single" w:sz="4" w:space="0" w:color="auto"/>
              <w:right w:val="nil"/>
            </w:tcBorders>
            <w:shd w:val="clear" w:color="auto" w:fill="auto"/>
            <w:vAlign w:val="center"/>
            <w:hideMark/>
          </w:tcPr>
          <w:p w14:paraId="5807D0B1" w14:textId="256124EF" w:rsidR="00B47E6E" w:rsidRPr="007D4AD1" w:rsidRDefault="00B47E6E" w:rsidP="00B47E6E">
            <w:pPr>
              <w:jc w:val="center"/>
              <w:rPr>
                <w:color w:val="000000"/>
              </w:rPr>
            </w:pPr>
            <w:r>
              <w:rPr>
                <w:color w:val="000000"/>
              </w:rPr>
              <w:t>370</w:t>
            </w:r>
          </w:p>
        </w:tc>
        <w:tc>
          <w:tcPr>
            <w:tcW w:w="1300" w:type="dxa"/>
            <w:tcBorders>
              <w:top w:val="nil"/>
              <w:left w:val="nil"/>
              <w:bottom w:val="single" w:sz="4" w:space="0" w:color="auto"/>
              <w:right w:val="nil"/>
            </w:tcBorders>
            <w:shd w:val="clear" w:color="auto" w:fill="auto"/>
            <w:vAlign w:val="center"/>
            <w:hideMark/>
          </w:tcPr>
          <w:p w14:paraId="3EDDFF33" w14:textId="77777777" w:rsidR="00B47E6E" w:rsidRPr="007D4AD1" w:rsidRDefault="00B47E6E" w:rsidP="00B47E6E">
            <w:pPr>
              <w:jc w:val="center"/>
              <w:rPr>
                <w:color w:val="000000"/>
              </w:rPr>
            </w:pPr>
            <w:r>
              <w:rPr>
                <w:color w:val="000000"/>
              </w:rPr>
              <w:t>100</w:t>
            </w:r>
          </w:p>
        </w:tc>
      </w:tr>
    </w:tbl>
    <w:p w14:paraId="7ED5267A" w14:textId="77777777" w:rsidR="00B47E6E" w:rsidRPr="006D448F" w:rsidRDefault="00B47E6E" w:rsidP="00B47E6E">
      <w:pPr>
        <w:keepNext/>
        <w:spacing w:before="360" w:after="120"/>
        <w:outlineLvl w:val="2"/>
        <w:rPr>
          <w:b/>
          <w:bCs/>
          <w:sz w:val="28"/>
        </w:rPr>
      </w:pPr>
      <w:r w:rsidRPr="006D448F">
        <w:rPr>
          <w:b/>
          <w:bCs/>
          <w:sz w:val="28"/>
        </w:rPr>
        <w:t>Other Disturbance</w:t>
      </w:r>
    </w:p>
    <w:p w14:paraId="52320344" w14:textId="77777777" w:rsidR="00B47E6E" w:rsidRDefault="00B47E6E" w:rsidP="00B47E6E">
      <w:pPr>
        <w:widowControl w:val="0"/>
        <w:spacing w:after="240"/>
        <w:jc w:val="left"/>
      </w:pPr>
      <w:r w:rsidRPr="006F682A">
        <w:t xml:space="preserve">Other disturbances are not currently modeled, but may, depending on the condition affected and mortality levels, reset patches to early development, maintain existing </w:t>
      </w:r>
      <w:r>
        <w:t>condition classes</w:t>
      </w:r>
      <w:r w:rsidRPr="006F682A">
        <w:t xml:space="preserve">, or shift/accelerate succession to a more open </w:t>
      </w:r>
      <w:r>
        <w:t>condition</w:t>
      </w:r>
      <w:r w:rsidRPr="006F682A">
        <w:t xml:space="preserve">. </w:t>
      </w:r>
    </w:p>
    <w:p w14:paraId="61F2C72B" w14:textId="77777777" w:rsidR="0084599A" w:rsidRDefault="0084599A" w:rsidP="00DD76B9">
      <w:pPr>
        <w:jc w:val="left"/>
      </w:pPr>
    </w:p>
    <w:p w14:paraId="198430BC" w14:textId="77777777" w:rsidR="00A40C7F" w:rsidRPr="00EE1A37" w:rsidRDefault="00A40C7F" w:rsidP="00A40C7F">
      <w:pPr>
        <w:spacing w:after="120"/>
        <w:outlineLvl w:val="2"/>
        <w:rPr>
          <w:b/>
          <w:bCs/>
          <w:sz w:val="36"/>
        </w:rPr>
      </w:pPr>
      <w:r w:rsidRPr="00EE1A37">
        <w:rPr>
          <w:b/>
          <w:bCs/>
          <w:sz w:val="36"/>
        </w:rPr>
        <w:t xml:space="preserve">Vegetation Condition </w:t>
      </w:r>
      <w:r w:rsidRPr="00EE1A37">
        <w:rPr>
          <w:b/>
          <w:sz w:val="36"/>
          <w:szCs w:val="32"/>
        </w:rPr>
        <w:t>Classes</w:t>
      </w:r>
    </w:p>
    <w:p w14:paraId="7F4E5371" w14:textId="302E9C31" w:rsidR="00A40C7F" w:rsidRDefault="00A40C7F" w:rsidP="00A40C7F">
      <w:pPr>
        <w:jc w:val="left"/>
      </w:pPr>
      <w:r>
        <w:t xml:space="preserve">We recognize five separate condition classes for WWP. The condition classes described below are based on the classes described in the pertinent LandFire Biophysical Setting model descriptions, which in turn were based on a “5-box” state and transition models describing major successional stages related to fire regime condition classification. According to the Fire Regime Condition Class guidebook, up to five successional classes may be utilized to describe age, size, canopy cover, and vegetation composition, ranging from early seral (post-disturbance) to late seral (such as old growth) (Barrett et al. 2010). </w:t>
      </w:r>
    </w:p>
    <w:p w14:paraId="7AE40A43" w14:textId="3C020628" w:rsidR="00A40C7F" w:rsidRDefault="00A40C7F" w:rsidP="00A40C7F">
      <w:pPr>
        <w:jc w:val="left"/>
      </w:pPr>
      <w:r>
        <w:tab/>
        <w:t xml:space="preserve"> The WWP variant is assigned to five separate condition classes: Early Development (ED), Mid Development Open (MDO), Mid Development Closed (MDC), Late Development Open (LDO, and Late Development Closed (LDC). </w:t>
      </w:r>
    </w:p>
    <w:p w14:paraId="39CFA526" w14:textId="77777777" w:rsidR="0084599A" w:rsidRDefault="0084599A" w:rsidP="00DD76B9">
      <w:pPr>
        <w:jc w:val="left"/>
      </w:pPr>
    </w:p>
    <w:p w14:paraId="2F092FCA" w14:textId="61267EA8" w:rsidR="00A40C7F" w:rsidRPr="008C31E7" w:rsidRDefault="00A40C7F" w:rsidP="00A40C7F">
      <w:pPr>
        <w:spacing w:after="120"/>
        <w:outlineLvl w:val="2"/>
        <w:rPr>
          <w:b/>
          <w:bCs/>
          <w:sz w:val="32"/>
        </w:rPr>
      </w:pPr>
      <w:r>
        <w:rPr>
          <w:b/>
          <w:bCs/>
          <w:sz w:val="32"/>
        </w:rPr>
        <w:t>Western White Pine</w:t>
      </w:r>
      <w:r w:rsidRPr="008C31E7">
        <w:rPr>
          <w:b/>
          <w:bCs/>
          <w:sz w:val="32"/>
        </w:rPr>
        <w:t xml:space="preserve"> Variant</w:t>
      </w:r>
    </w:p>
    <w:p w14:paraId="0E7B2078" w14:textId="77777777" w:rsidR="00A40C7F" w:rsidRPr="00EE1A37" w:rsidRDefault="00A40C7F" w:rsidP="00A40C7F">
      <w:pPr>
        <w:spacing w:after="120"/>
        <w:outlineLvl w:val="2"/>
        <w:rPr>
          <w:b/>
          <w:bCs/>
          <w:sz w:val="28"/>
        </w:rPr>
      </w:pPr>
      <w:r w:rsidRPr="00EE1A37">
        <w:rPr>
          <w:b/>
          <w:bCs/>
          <w:sz w:val="28"/>
        </w:rPr>
        <w:t>Early Development (ED)</w:t>
      </w:r>
    </w:p>
    <w:p w14:paraId="291202B8" w14:textId="6344E87B" w:rsidR="00A40C7F" w:rsidRPr="00A40C7F" w:rsidRDefault="00B44956" w:rsidP="00A40C7F">
      <w:pPr>
        <w:jc w:val="left"/>
      </w:pPr>
      <w:r>
        <w:drawing>
          <wp:anchor distT="0" distB="0" distL="114300" distR="114300" simplePos="0" relativeHeight="251658240" behindDoc="0" locked="0" layoutInCell="1" allowOverlap="1" wp14:anchorId="4DB67CB8" wp14:editId="572F496A">
            <wp:simplePos x="0" y="0"/>
            <wp:positionH relativeFrom="column">
              <wp:posOffset>3007360</wp:posOffset>
            </wp:positionH>
            <wp:positionV relativeFrom="paragraph">
              <wp:posOffset>339090</wp:posOffset>
            </wp:positionV>
            <wp:extent cx="2915285" cy="228600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WP_ED.png"/>
                    <pic:cNvPicPr/>
                  </pic:nvPicPr>
                  <pic:blipFill rotWithShape="1">
                    <a:blip r:embed="rId6">
                      <a:extLst>
                        <a:ext uri="{28A0092B-C50C-407E-A947-70E740481C1C}">
                          <a14:useLocalDpi xmlns:a14="http://schemas.microsoft.com/office/drawing/2010/main" val="0"/>
                        </a:ext>
                      </a:extLst>
                    </a:blip>
                    <a:srcRect l="4445" t="5699" r="7692" b="2436"/>
                    <a:stretch/>
                  </pic:blipFill>
                  <pic:spPr bwMode="auto">
                    <a:xfrm>
                      <a:off x="0" y="0"/>
                      <a:ext cx="291528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40C7F" w:rsidRPr="00EE1A37">
        <w:rPr>
          <w:b/>
        </w:rPr>
        <w:t>Description</w:t>
      </w:r>
      <w:r w:rsidR="00A40C7F" w:rsidRPr="00EE1A37">
        <w:tab/>
      </w:r>
      <w:r w:rsidR="00A40C7F" w:rsidRPr="00A40C7F">
        <w:t xml:space="preserve">Open stand of </w:t>
      </w:r>
      <w:r w:rsidR="00A40C7F">
        <w:rPr>
          <w:i/>
        </w:rPr>
        <w:t>P. monticola, A. concolor</w:t>
      </w:r>
      <w:r w:rsidR="00A40C7F" w:rsidRPr="00A40C7F">
        <w:t xml:space="preserve">, </w:t>
      </w:r>
      <w:r w:rsidR="00A40C7F">
        <w:t xml:space="preserve">and </w:t>
      </w:r>
      <w:r w:rsidR="00A40C7F">
        <w:rPr>
          <w:i/>
        </w:rPr>
        <w:t xml:space="preserve">P. </w:t>
      </w:r>
      <w:r w:rsidR="00A40C7F" w:rsidRPr="00A40C7F">
        <w:rPr>
          <w:i/>
        </w:rPr>
        <w:t>ponderos</w:t>
      </w:r>
      <w:r w:rsidR="00A40C7F">
        <w:rPr>
          <w:i/>
        </w:rPr>
        <w:t>a</w:t>
      </w:r>
      <w:r w:rsidR="00A40C7F">
        <w:t>, as well as</w:t>
      </w:r>
      <w:r w:rsidR="00A40C7F" w:rsidRPr="00A40C7F">
        <w:t xml:space="preserve"> other tree seedlings mixed with grasses and shrubs. Early</w:t>
      </w:r>
      <w:r w:rsidR="00A40C7F">
        <w:t xml:space="preserve"> seral dominant species include</w:t>
      </w:r>
      <w:r w:rsidR="00A40C7F" w:rsidRPr="00A40C7F">
        <w:t xml:space="preserve"> </w:t>
      </w:r>
      <w:r w:rsidR="00A40C7F">
        <w:rPr>
          <w:i/>
        </w:rPr>
        <w:t>C</w:t>
      </w:r>
      <w:r w:rsidR="00A40C7F" w:rsidRPr="00A40C7F">
        <w:rPr>
          <w:i/>
        </w:rPr>
        <w:t>eanothus</w:t>
      </w:r>
      <w:r w:rsidR="00A40C7F" w:rsidRPr="00A40C7F">
        <w:t xml:space="preserve"> and </w:t>
      </w:r>
      <w:r w:rsidR="00A40C7F">
        <w:t xml:space="preserve">various </w:t>
      </w:r>
      <w:r w:rsidR="00A40C7F" w:rsidRPr="00A40C7F">
        <w:t>grasses. A portion of these stands get into a shrub dominated stage that ca</w:t>
      </w:r>
      <w:r w:rsidR="00A40C7F">
        <w:t>n persist for for a few decades</w:t>
      </w:r>
      <w:r w:rsidR="00850388">
        <w:t xml:space="preserve"> (LandFire 2007)</w:t>
      </w:r>
      <w:r w:rsidR="00A40C7F">
        <w:t>.</w:t>
      </w:r>
    </w:p>
    <w:p w14:paraId="79D9E017" w14:textId="22A9B301" w:rsidR="0084599A" w:rsidRDefault="0084599A" w:rsidP="00A40C7F">
      <w:pPr>
        <w:jc w:val="left"/>
      </w:pPr>
    </w:p>
    <w:p w14:paraId="2E44CCE9" w14:textId="512D4E2C" w:rsidR="00A40C7F" w:rsidRDefault="00A40C7F" w:rsidP="006C3F8F">
      <w:pPr>
        <w:jc w:val="left"/>
      </w:pPr>
      <w:r w:rsidRPr="00737FBB">
        <w:rPr>
          <w:b/>
        </w:rPr>
        <w:t>Succession Transition</w:t>
      </w:r>
      <w:r w:rsidRPr="00737FBB">
        <w:rPr>
          <w:rFonts w:ascii="Times" w:hAnsi="Times" w:cs="Times"/>
          <w:sz w:val="26"/>
          <w:szCs w:val="26"/>
          <w:lang w:eastAsia="ja-JP"/>
        </w:rPr>
        <w:t xml:space="preserve"> </w:t>
      </w:r>
      <w:r>
        <w:rPr>
          <w:rFonts w:ascii="Times" w:hAnsi="Times" w:cs="Times"/>
          <w:sz w:val="26"/>
          <w:szCs w:val="26"/>
          <w:lang w:eastAsia="ja-JP"/>
        </w:rPr>
        <w:tab/>
      </w:r>
      <w:r w:rsidRPr="006F682A">
        <w:t>In the absence of disturbance, this clas</w:t>
      </w:r>
      <w:r>
        <w:t xml:space="preserve">s will begin transitioning to </w:t>
      </w:r>
      <w:r w:rsidR="006C3F8F">
        <w:t>an MD condition class</w:t>
      </w:r>
      <w:r>
        <w:t xml:space="preserve"> after 30 years at a rate of 0.7 per time step. At 70 years, all </w:t>
      </w:r>
      <w:r w:rsidRPr="006F682A">
        <w:t>stands will have</w:t>
      </w:r>
      <w:r>
        <w:t xml:space="preserve"> succeeded</w:t>
      </w:r>
      <w:r w:rsidRPr="006F682A">
        <w:t>.</w:t>
      </w:r>
      <w:r w:rsidR="006C3F8F">
        <w:t xml:space="preserve"> The transition to MDO</w:t>
      </w:r>
      <w:r w:rsidR="006C3F8F" w:rsidRPr="006F682A">
        <w:t xml:space="preserve"> is twic</w:t>
      </w:r>
      <w:r w:rsidR="006C3F8F">
        <w:t>e as likely as transition to MDC</w:t>
      </w:r>
      <w:bookmarkStart w:id="0" w:name="_GoBack"/>
      <w:bookmarkEnd w:id="0"/>
      <w:r w:rsidR="006C3F8F" w:rsidRPr="006F682A">
        <w:t>.</w:t>
      </w:r>
    </w:p>
    <w:p w14:paraId="2075CB82" w14:textId="77777777" w:rsidR="00A40C7F" w:rsidRDefault="00A40C7F" w:rsidP="00A40C7F">
      <w:pPr>
        <w:rPr>
          <w:b/>
          <w:lang w:eastAsia="ja-JP"/>
        </w:rPr>
      </w:pPr>
    </w:p>
    <w:p w14:paraId="620CEAEE" w14:textId="760FDA28" w:rsidR="00A40C7F" w:rsidRDefault="00A40C7F" w:rsidP="006C3F8F">
      <w:pPr>
        <w:pBdr>
          <w:bottom w:val="single" w:sz="4" w:space="1" w:color="auto"/>
        </w:pBdr>
        <w:jc w:val="left"/>
        <w:rPr>
          <w:lang w:eastAsia="ja-JP"/>
        </w:rPr>
      </w:pPr>
      <w:r w:rsidRPr="004E6E75">
        <w:rPr>
          <w:b/>
          <w:lang w:eastAsia="ja-JP"/>
        </w:rPr>
        <w:t>Wildfire Transition</w:t>
      </w:r>
      <w:r w:rsidRPr="004E6E75">
        <w:rPr>
          <w:lang w:eastAsia="ja-JP"/>
        </w:rPr>
        <w:t xml:space="preserve"> </w:t>
      </w:r>
      <w:r>
        <w:rPr>
          <w:lang w:eastAsia="ja-JP"/>
        </w:rPr>
        <w:tab/>
      </w:r>
      <w:r w:rsidRPr="004E6E75">
        <w:rPr>
          <w:lang w:eastAsia="ja-JP"/>
        </w:rPr>
        <w:t xml:space="preserve">High mortality wildfire (100% </w:t>
      </w:r>
      <w:r>
        <w:rPr>
          <w:lang w:eastAsia="ja-JP"/>
        </w:rPr>
        <w:t>of fires in this condition)</w:t>
      </w:r>
      <w:r w:rsidRPr="004E6E75">
        <w:rPr>
          <w:lang w:eastAsia="ja-JP"/>
        </w:rPr>
        <w:t xml:space="preserve"> recycles the</w:t>
      </w:r>
      <w:r>
        <w:rPr>
          <w:lang w:eastAsia="ja-JP"/>
        </w:rPr>
        <w:t xml:space="preserve"> patch through the ED</w:t>
      </w:r>
      <w:r w:rsidRPr="004E6E75">
        <w:rPr>
          <w:lang w:eastAsia="ja-JP"/>
        </w:rPr>
        <w:t xml:space="preserve"> </w:t>
      </w:r>
      <w:r>
        <w:rPr>
          <w:lang w:eastAsia="ja-JP"/>
        </w:rPr>
        <w:t>condition</w:t>
      </w:r>
      <w:r w:rsidRPr="004E6E75">
        <w:rPr>
          <w:lang w:eastAsia="ja-JP"/>
        </w:rPr>
        <w:t>. Low mortality</w:t>
      </w:r>
      <w:r w:rsidRPr="0008535E">
        <w:rPr>
          <w:lang w:eastAsia="ja-JP"/>
        </w:rPr>
        <w:t xml:space="preserve"> </w:t>
      </w:r>
      <w:r w:rsidRPr="004E6E75">
        <w:rPr>
          <w:lang w:eastAsia="ja-JP"/>
        </w:rPr>
        <w:t xml:space="preserve">wildfire is not modeled for this </w:t>
      </w:r>
      <w:r>
        <w:rPr>
          <w:lang w:eastAsia="ja-JP"/>
        </w:rPr>
        <w:t>condition</w:t>
      </w:r>
      <w:r w:rsidRPr="004E6E75">
        <w:rPr>
          <w:lang w:eastAsia="ja-JP"/>
        </w:rPr>
        <w:t>.</w:t>
      </w:r>
    </w:p>
    <w:p w14:paraId="7E06C882" w14:textId="77777777" w:rsidR="00A40C7F" w:rsidRDefault="00A40C7F" w:rsidP="00A40C7F">
      <w:pPr>
        <w:pBdr>
          <w:bottom w:val="single" w:sz="4" w:space="1" w:color="auto"/>
        </w:pBdr>
        <w:rPr>
          <w:lang w:eastAsia="ja-JP"/>
        </w:rPr>
      </w:pPr>
    </w:p>
    <w:p w14:paraId="3676C3B9" w14:textId="77777777" w:rsidR="0084599A" w:rsidRDefault="0084599A" w:rsidP="00DD76B9">
      <w:pPr>
        <w:jc w:val="left"/>
      </w:pPr>
    </w:p>
    <w:p w14:paraId="31D60198" w14:textId="0FC5EC01" w:rsidR="00A40C7F" w:rsidRPr="002D4630" w:rsidRDefault="00A40C7F" w:rsidP="00A40C7F">
      <w:pPr>
        <w:jc w:val="left"/>
        <w:outlineLvl w:val="2"/>
        <w:rPr>
          <w:b/>
          <w:bCs/>
          <w:sz w:val="28"/>
        </w:rPr>
      </w:pPr>
      <w:r w:rsidRPr="002D4630">
        <w:rPr>
          <w:b/>
          <w:bCs/>
          <w:sz w:val="28"/>
        </w:rPr>
        <w:t xml:space="preserve">Mid Development </w:t>
      </w:r>
      <w:r w:rsidR="00041798">
        <w:rPr>
          <w:b/>
          <w:bCs/>
          <w:sz w:val="28"/>
        </w:rPr>
        <w:t>–</w:t>
      </w:r>
      <w:r w:rsidRPr="002D4630">
        <w:rPr>
          <w:b/>
          <w:bCs/>
          <w:sz w:val="28"/>
        </w:rPr>
        <w:t xml:space="preserve"> Open (MDO)</w:t>
      </w:r>
    </w:p>
    <w:p w14:paraId="7A07E10F" w14:textId="77777777" w:rsidR="00A40C7F" w:rsidRPr="002D4630" w:rsidRDefault="00A40C7F" w:rsidP="00A40C7F">
      <w:pPr>
        <w:jc w:val="left"/>
        <w:outlineLvl w:val="4"/>
        <w:rPr>
          <w:b/>
          <w:bCs/>
        </w:rPr>
      </w:pPr>
    </w:p>
    <w:p w14:paraId="65929AAE" w14:textId="3A6FF2DA" w:rsidR="00A40C7F" w:rsidRPr="00A40C7F" w:rsidRDefault="00A40C7F" w:rsidP="00A40C7F">
      <w:pPr>
        <w:jc w:val="left"/>
        <w:rPr>
          <w:bCs/>
        </w:rPr>
      </w:pPr>
      <w:r w:rsidRPr="00C53086">
        <w:rPr>
          <w:b/>
          <w:bCs/>
        </w:rPr>
        <w:t>Description</w:t>
      </w:r>
      <w:r w:rsidRPr="00C53086">
        <w:rPr>
          <w:bCs/>
        </w:rPr>
        <w:tab/>
      </w:r>
      <w:r>
        <w:rPr>
          <w:bCs/>
        </w:rPr>
        <w:t xml:space="preserve">Open stand of early seral tree species. </w:t>
      </w:r>
      <w:r w:rsidRPr="00A40C7F">
        <w:t>Heterogeneous ground cover of grasses, forbs, and shrubs.</w:t>
      </w:r>
      <w:r w:rsidRPr="00A40C7F">
        <w:rPr>
          <w:i/>
        </w:rPr>
        <w:t xml:space="preserve"> </w:t>
      </w:r>
      <w:r w:rsidRPr="00A40C7F">
        <w:t xml:space="preserve">Trees present are pole to medium sized conifers with canopy cover less than </w:t>
      </w:r>
      <w:r>
        <w:t>4</w:t>
      </w:r>
      <w:r w:rsidRPr="00A40C7F">
        <w:t>0%</w:t>
      </w:r>
      <w:r>
        <w:t xml:space="preserve">. Conifer species likely present include </w:t>
      </w:r>
      <w:r>
        <w:rPr>
          <w:i/>
        </w:rPr>
        <w:t>P. monticola, A. concolor</w:t>
      </w:r>
      <w:r w:rsidRPr="00A40C7F">
        <w:t xml:space="preserve">, </w:t>
      </w:r>
      <w:r>
        <w:t xml:space="preserve">and </w:t>
      </w:r>
      <w:r>
        <w:rPr>
          <w:i/>
        </w:rPr>
        <w:t xml:space="preserve">P. </w:t>
      </w:r>
      <w:r w:rsidRPr="00A40C7F">
        <w:rPr>
          <w:i/>
        </w:rPr>
        <w:t>ponderos</w:t>
      </w:r>
      <w:r>
        <w:rPr>
          <w:i/>
        </w:rPr>
        <w:t>a</w:t>
      </w:r>
      <w:r>
        <w:t xml:space="preserve"> (LandFire 2007).</w:t>
      </w:r>
    </w:p>
    <w:p w14:paraId="14D38B4C" w14:textId="73C479AC" w:rsidR="00A40C7F" w:rsidRPr="00C53086" w:rsidRDefault="00B44956" w:rsidP="00A40C7F">
      <w:pPr>
        <w:ind w:firstLine="360"/>
        <w:jc w:val="left"/>
      </w:pPr>
      <w:r>
        <w:drawing>
          <wp:anchor distT="0" distB="0" distL="114300" distR="114300" simplePos="0" relativeHeight="251659264" behindDoc="0" locked="0" layoutInCell="1" allowOverlap="1" wp14:anchorId="3783A0D6" wp14:editId="10D716AA">
            <wp:simplePos x="0" y="0"/>
            <wp:positionH relativeFrom="column">
              <wp:posOffset>3027680</wp:posOffset>
            </wp:positionH>
            <wp:positionV relativeFrom="paragraph">
              <wp:posOffset>106680</wp:posOffset>
            </wp:positionV>
            <wp:extent cx="2908300" cy="2286000"/>
            <wp:effectExtent l="0" t="0" r="1270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WP_MDO.png"/>
                    <pic:cNvPicPr/>
                  </pic:nvPicPr>
                  <pic:blipFill rotWithShape="1">
                    <a:blip r:embed="rId7">
                      <a:extLst>
                        <a:ext uri="{28A0092B-C50C-407E-A947-70E740481C1C}">
                          <a14:useLocalDpi xmlns:a14="http://schemas.microsoft.com/office/drawing/2010/main" val="0"/>
                        </a:ext>
                      </a:extLst>
                    </a:blip>
                    <a:srcRect l="4445" t="5472" r="7692" b="2436"/>
                    <a:stretch/>
                  </pic:blipFill>
                  <pic:spPr bwMode="auto">
                    <a:xfrm>
                      <a:off x="0" y="0"/>
                      <a:ext cx="290830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2939809" w14:textId="75AD6FFF" w:rsidR="00A40C7F" w:rsidRDefault="00A40C7F" w:rsidP="00A40C7F">
      <w:pPr>
        <w:jc w:val="left"/>
      </w:pPr>
      <w:r w:rsidRPr="00124DFE">
        <w:rPr>
          <w:b/>
        </w:rPr>
        <w:t>Succession Transition</w:t>
      </w:r>
      <w:r>
        <w:tab/>
      </w:r>
      <w:r w:rsidRPr="00A3304E">
        <w:t xml:space="preserve">This </w:t>
      </w:r>
      <w:r w:rsidR="00F82139">
        <w:t>condition</w:t>
      </w:r>
      <w:r w:rsidRPr="00A3304E">
        <w:t xml:space="preserve"> will maintain under low mor</w:t>
      </w:r>
      <w:r>
        <w:t xml:space="preserve">tality disturbance, but after </w:t>
      </w:r>
      <w:r w:rsidR="00041798">
        <w:t>3</w:t>
      </w:r>
      <w:r>
        <w:t>0</w:t>
      </w:r>
      <w:r w:rsidRPr="00A3304E">
        <w:t xml:space="preserve"> years without fire it begins transitioning to MDC</w:t>
      </w:r>
      <w:r>
        <w:t xml:space="preserve"> at a rate of 0.8 per time step</w:t>
      </w:r>
      <w:r w:rsidRPr="00A3304E">
        <w:t xml:space="preserve">. </w:t>
      </w:r>
      <w:r>
        <w:t xml:space="preserve">Succession to LDO occurs once the patch has been in mid development for </w:t>
      </w:r>
      <w:r w:rsidR="00F82139">
        <w:t>7</w:t>
      </w:r>
      <w:r>
        <w:t>0 years. The rate of succession per time step is 0.</w:t>
      </w:r>
      <w:r w:rsidR="00F82139">
        <w:t>6</w:t>
      </w:r>
      <w:r>
        <w:t>. After 1</w:t>
      </w:r>
      <w:r w:rsidR="00F82139">
        <w:t>2</w:t>
      </w:r>
      <w:r>
        <w:t>0 years, all stands will have succeeded.</w:t>
      </w:r>
    </w:p>
    <w:p w14:paraId="433C584D" w14:textId="77777777" w:rsidR="00A40C7F" w:rsidRDefault="00A40C7F" w:rsidP="00A40C7F">
      <w:pPr>
        <w:ind w:firstLine="360"/>
        <w:jc w:val="left"/>
      </w:pPr>
    </w:p>
    <w:p w14:paraId="7D14634D" w14:textId="4FFECC0C" w:rsidR="00A40C7F" w:rsidRDefault="00A40C7F" w:rsidP="00A40C7F">
      <w:pPr>
        <w:pBdr>
          <w:bottom w:val="single" w:sz="4" w:space="1" w:color="auto"/>
        </w:pBdr>
        <w:jc w:val="left"/>
        <w:outlineLvl w:val="2"/>
      </w:pPr>
      <w:r w:rsidRPr="00A3304E">
        <w:rPr>
          <w:b/>
        </w:rPr>
        <w:t xml:space="preserve">Wildfire Transition </w:t>
      </w:r>
      <w:r>
        <w:t>High mortality wi</w:t>
      </w:r>
      <w:r w:rsidR="00041798">
        <w:t>ldfire (</w:t>
      </w:r>
      <w:r w:rsidR="00F82139">
        <w:t>9.1</w:t>
      </w:r>
      <w:r w:rsidRPr="00A3304E">
        <w:t>% of fires</w:t>
      </w:r>
      <w:r>
        <w:t xml:space="preserve"> in this condition</w:t>
      </w:r>
      <w:r w:rsidRPr="00A3304E">
        <w:t>) recycles the p</w:t>
      </w:r>
      <w:r>
        <w:t xml:space="preserve">atch through the </w:t>
      </w:r>
      <w:r w:rsidR="00041798">
        <w:t>ED</w:t>
      </w:r>
      <w:r w:rsidRPr="00A3304E">
        <w:t xml:space="preserve"> </w:t>
      </w:r>
      <w:r>
        <w:t>condition</w:t>
      </w:r>
      <w:r w:rsidRPr="00A3304E">
        <w:t>. Low mortality wildfire (</w:t>
      </w:r>
      <w:r w:rsidR="00F82139">
        <w:t>90.9</w:t>
      </w:r>
      <w:r w:rsidR="00041798">
        <w:t>%</w:t>
      </w:r>
      <w:r w:rsidRPr="00A3304E">
        <w:t>%) maintains the patch in MDO.</w:t>
      </w:r>
    </w:p>
    <w:p w14:paraId="30EFDD58" w14:textId="77777777" w:rsidR="00A40C7F" w:rsidRDefault="00A40C7F" w:rsidP="00A40C7F">
      <w:pPr>
        <w:pBdr>
          <w:bottom w:val="single" w:sz="4" w:space="1" w:color="auto"/>
        </w:pBdr>
        <w:jc w:val="left"/>
        <w:outlineLvl w:val="2"/>
      </w:pPr>
    </w:p>
    <w:p w14:paraId="053F634E" w14:textId="77777777" w:rsidR="0084599A" w:rsidRDefault="0084599A" w:rsidP="00A40C7F">
      <w:pPr>
        <w:jc w:val="left"/>
      </w:pPr>
    </w:p>
    <w:p w14:paraId="4370B197" w14:textId="265D5DF1" w:rsidR="00041798" w:rsidRPr="002D4630" w:rsidRDefault="00041798" w:rsidP="00041798">
      <w:pPr>
        <w:jc w:val="left"/>
        <w:outlineLvl w:val="2"/>
        <w:rPr>
          <w:b/>
          <w:bCs/>
          <w:sz w:val="28"/>
        </w:rPr>
      </w:pPr>
      <w:r w:rsidRPr="002D4630">
        <w:rPr>
          <w:b/>
          <w:bCs/>
          <w:sz w:val="28"/>
        </w:rPr>
        <w:t xml:space="preserve">Mid Development </w:t>
      </w:r>
      <w:r>
        <w:rPr>
          <w:b/>
          <w:bCs/>
          <w:sz w:val="28"/>
        </w:rPr>
        <w:t>–</w:t>
      </w:r>
      <w:r w:rsidRPr="002D4630">
        <w:rPr>
          <w:b/>
          <w:bCs/>
          <w:sz w:val="28"/>
        </w:rPr>
        <w:t xml:space="preserve"> </w:t>
      </w:r>
      <w:r>
        <w:rPr>
          <w:b/>
          <w:bCs/>
          <w:sz w:val="28"/>
        </w:rPr>
        <w:t>Closed</w:t>
      </w:r>
      <w:r w:rsidRPr="002D4630">
        <w:rPr>
          <w:b/>
          <w:bCs/>
          <w:sz w:val="28"/>
        </w:rPr>
        <w:t xml:space="preserve"> (MD</w:t>
      </w:r>
      <w:r>
        <w:rPr>
          <w:b/>
          <w:bCs/>
          <w:sz w:val="28"/>
        </w:rPr>
        <w:t>C</w:t>
      </w:r>
      <w:r w:rsidRPr="002D4630">
        <w:rPr>
          <w:b/>
          <w:bCs/>
          <w:sz w:val="28"/>
        </w:rPr>
        <w:t>)</w:t>
      </w:r>
    </w:p>
    <w:p w14:paraId="5559CA3E" w14:textId="77777777" w:rsidR="00041798" w:rsidRPr="002D4630" w:rsidRDefault="00041798" w:rsidP="00041798">
      <w:pPr>
        <w:jc w:val="left"/>
        <w:outlineLvl w:val="4"/>
        <w:rPr>
          <w:b/>
          <w:bCs/>
        </w:rPr>
      </w:pPr>
    </w:p>
    <w:p w14:paraId="70B084F0" w14:textId="58ED326A" w:rsidR="00041798" w:rsidRPr="00A40C7F" w:rsidRDefault="00041798" w:rsidP="00041798">
      <w:pPr>
        <w:jc w:val="left"/>
        <w:rPr>
          <w:bCs/>
        </w:rPr>
      </w:pPr>
      <w:r w:rsidRPr="00C53086">
        <w:rPr>
          <w:b/>
          <w:bCs/>
        </w:rPr>
        <w:t>Description</w:t>
      </w:r>
      <w:r w:rsidRPr="00C53086">
        <w:rPr>
          <w:bCs/>
        </w:rPr>
        <w:tab/>
      </w:r>
      <w:r w:rsidRPr="00041798">
        <w:t xml:space="preserve">Sparse ground cover of grasses, forbs, and shrubs; moderate to dense cover of trees. Conifers are pole to medium-sized, with canopy cover </w:t>
      </w:r>
      <w:r>
        <w:t>over 40</w:t>
      </w:r>
      <w:r w:rsidRPr="00041798">
        <w:t>%.</w:t>
      </w:r>
      <w:r w:rsidRPr="006F682A">
        <w:rPr>
          <w:b/>
        </w:rPr>
        <w:t xml:space="preserve"> </w:t>
      </w:r>
      <w:r w:rsidRPr="00041798">
        <w:t>Forests of this type rarely, if ever, exceed 80% canopy closure even in closed, dense conditions. Conifer</w:t>
      </w:r>
      <w:r>
        <w:t xml:space="preserve"> species likely present include </w:t>
      </w:r>
      <w:r>
        <w:rPr>
          <w:i/>
        </w:rPr>
        <w:t>P. monticola, A. concolor</w:t>
      </w:r>
      <w:r w:rsidRPr="00A40C7F">
        <w:t xml:space="preserve">, </w:t>
      </w:r>
      <w:r>
        <w:t xml:space="preserve">and </w:t>
      </w:r>
      <w:r>
        <w:rPr>
          <w:i/>
        </w:rPr>
        <w:t xml:space="preserve">P. </w:t>
      </w:r>
      <w:r w:rsidRPr="00A40C7F">
        <w:rPr>
          <w:i/>
        </w:rPr>
        <w:t>ponderos</w:t>
      </w:r>
      <w:r>
        <w:rPr>
          <w:i/>
        </w:rPr>
        <w:t>a</w:t>
      </w:r>
      <w:r>
        <w:t xml:space="preserve"> (LandFire 2007).</w:t>
      </w:r>
    </w:p>
    <w:p w14:paraId="3EE8D1EA" w14:textId="1EB3E1A1" w:rsidR="00041798" w:rsidRPr="00C53086" w:rsidRDefault="00B44956" w:rsidP="00041798">
      <w:pPr>
        <w:ind w:firstLine="360"/>
        <w:jc w:val="left"/>
      </w:pPr>
      <w:r>
        <w:drawing>
          <wp:anchor distT="0" distB="0" distL="114300" distR="114300" simplePos="0" relativeHeight="251660288" behindDoc="0" locked="0" layoutInCell="1" allowOverlap="1" wp14:anchorId="0108C0C8" wp14:editId="75E39E26">
            <wp:simplePos x="0" y="0"/>
            <wp:positionH relativeFrom="column">
              <wp:posOffset>3048000</wp:posOffset>
            </wp:positionH>
            <wp:positionV relativeFrom="paragraph">
              <wp:posOffset>-3810</wp:posOffset>
            </wp:positionV>
            <wp:extent cx="2882265" cy="2286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WP_MDC.png"/>
                    <pic:cNvPicPr/>
                  </pic:nvPicPr>
                  <pic:blipFill rotWithShape="1">
                    <a:blip r:embed="rId8">
                      <a:extLst>
                        <a:ext uri="{28A0092B-C50C-407E-A947-70E740481C1C}">
                          <a14:useLocalDpi xmlns:a14="http://schemas.microsoft.com/office/drawing/2010/main" val="0"/>
                        </a:ext>
                      </a:extLst>
                    </a:blip>
                    <a:srcRect l="4615" t="5243" r="7863" b="2208"/>
                    <a:stretch/>
                  </pic:blipFill>
                  <pic:spPr bwMode="auto">
                    <a:xfrm>
                      <a:off x="0" y="0"/>
                      <a:ext cx="288226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4C9D90D" w14:textId="0A4711D7" w:rsidR="00041798" w:rsidRDefault="00041798" w:rsidP="00041798">
      <w:pPr>
        <w:jc w:val="left"/>
      </w:pPr>
      <w:r w:rsidRPr="00124DFE">
        <w:rPr>
          <w:b/>
        </w:rPr>
        <w:t>Succession Transition</w:t>
      </w:r>
      <w:r>
        <w:tab/>
        <w:t>Succession to LDC occurs once the patch has been in mid development for 70 years. The rate of succession per time step is 0.6. After 120 years, all stands will have succeeded.</w:t>
      </w:r>
    </w:p>
    <w:p w14:paraId="4E986F6F" w14:textId="77777777" w:rsidR="00041798" w:rsidRDefault="00041798" w:rsidP="00041798">
      <w:pPr>
        <w:ind w:firstLine="360"/>
        <w:jc w:val="left"/>
      </w:pPr>
    </w:p>
    <w:p w14:paraId="48F7D981" w14:textId="18E59238" w:rsidR="00041798" w:rsidRDefault="00041798" w:rsidP="00850388">
      <w:pPr>
        <w:pStyle w:val="ListParagraph"/>
        <w:numPr>
          <w:ilvl w:val="0"/>
          <w:numId w:val="0"/>
        </w:numPr>
      </w:pPr>
      <w:r w:rsidRPr="00A3304E">
        <w:rPr>
          <w:b/>
        </w:rPr>
        <w:t xml:space="preserve">Wildfire Transition </w:t>
      </w:r>
      <w:r>
        <w:t>High mortality wildfire (16.7</w:t>
      </w:r>
      <w:r w:rsidRPr="00A3304E">
        <w:t>% of fires</w:t>
      </w:r>
      <w:r>
        <w:t xml:space="preserve"> in this condition</w:t>
      </w:r>
      <w:r w:rsidRPr="00A3304E">
        <w:t>) recycles the p</w:t>
      </w:r>
      <w:r>
        <w:t>atch through the ED</w:t>
      </w:r>
      <w:r w:rsidRPr="00A3304E">
        <w:t xml:space="preserve"> </w:t>
      </w:r>
      <w:r>
        <w:t>condition</w:t>
      </w:r>
      <w:r w:rsidRPr="00A3304E">
        <w:t>. Low mortality wildfire (</w:t>
      </w:r>
      <w:r>
        <w:t>83.3%</w:t>
      </w:r>
      <w:r w:rsidRPr="00A3304E">
        <w:t xml:space="preserve">%) </w:t>
      </w:r>
      <w:r w:rsidR="00F82139" w:rsidRPr="006F682A">
        <w:t>opens the stand up</w:t>
      </w:r>
      <w:r w:rsidR="00F82139">
        <w:t xml:space="preserve"> to</w:t>
      </w:r>
      <w:r w:rsidR="00F82139" w:rsidRPr="006F682A">
        <w:t xml:space="preserve"> MDO </w:t>
      </w:r>
      <w:r w:rsidR="00F82139">
        <w:t>80</w:t>
      </w:r>
      <w:r w:rsidR="00F82139" w:rsidRPr="006F682A">
        <w:t>% of the time; otherwise, the patch remains in MDC.</w:t>
      </w:r>
    </w:p>
    <w:p w14:paraId="675FFE15" w14:textId="77777777" w:rsidR="00041798" w:rsidRDefault="00041798" w:rsidP="00850388">
      <w:pPr>
        <w:pBdr>
          <w:bottom w:val="single" w:sz="4" w:space="1" w:color="auto"/>
        </w:pBdr>
        <w:jc w:val="left"/>
        <w:outlineLvl w:val="2"/>
      </w:pPr>
    </w:p>
    <w:p w14:paraId="6D66B84A" w14:textId="77777777" w:rsidR="00850388" w:rsidRDefault="00850388" w:rsidP="00850388">
      <w:pPr>
        <w:jc w:val="left"/>
        <w:rPr>
          <w:b/>
          <w:sz w:val="28"/>
          <w:szCs w:val="28"/>
        </w:rPr>
      </w:pPr>
    </w:p>
    <w:p w14:paraId="00401442" w14:textId="52C35315" w:rsidR="00850388" w:rsidRDefault="00850388" w:rsidP="00850388">
      <w:pPr>
        <w:jc w:val="left"/>
        <w:rPr>
          <w:b/>
          <w:sz w:val="28"/>
          <w:szCs w:val="28"/>
        </w:rPr>
      </w:pPr>
      <w:r w:rsidRPr="00A3304E">
        <w:rPr>
          <w:b/>
          <w:sz w:val="28"/>
          <w:szCs w:val="28"/>
        </w:rPr>
        <w:t xml:space="preserve">Late Development </w:t>
      </w:r>
      <w:r>
        <w:rPr>
          <w:b/>
          <w:sz w:val="28"/>
          <w:szCs w:val="28"/>
        </w:rPr>
        <w:t>–</w:t>
      </w:r>
      <w:r w:rsidRPr="00A3304E">
        <w:rPr>
          <w:b/>
          <w:sz w:val="28"/>
          <w:szCs w:val="28"/>
        </w:rPr>
        <w:t xml:space="preserve"> Open (LDO)</w:t>
      </w:r>
    </w:p>
    <w:p w14:paraId="3555C9EC" w14:textId="3594CCA5" w:rsidR="00850388" w:rsidRDefault="00B44956" w:rsidP="00850388">
      <w:pPr>
        <w:jc w:val="left"/>
        <w:rPr>
          <w:b/>
          <w:sz w:val="28"/>
          <w:szCs w:val="28"/>
        </w:rPr>
      </w:pPr>
      <w:r>
        <w:drawing>
          <wp:anchor distT="0" distB="0" distL="114300" distR="114300" simplePos="0" relativeHeight="251661312" behindDoc="0" locked="0" layoutInCell="1" allowOverlap="1" wp14:anchorId="11A7E358" wp14:editId="1D5FFD68">
            <wp:simplePos x="0" y="0"/>
            <wp:positionH relativeFrom="column">
              <wp:posOffset>3058160</wp:posOffset>
            </wp:positionH>
            <wp:positionV relativeFrom="paragraph">
              <wp:posOffset>135255</wp:posOffset>
            </wp:positionV>
            <wp:extent cx="2871470" cy="22860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WP_LDO.png"/>
                    <pic:cNvPicPr/>
                  </pic:nvPicPr>
                  <pic:blipFill rotWithShape="1">
                    <a:blip r:embed="rId9">
                      <a:extLst>
                        <a:ext uri="{28A0092B-C50C-407E-A947-70E740481C1C}">
                          <a14:useLocalDpi xmlns:a14="http://schemas.microsoft.com/office/drawing/2010/main" val="0"/>
                        </a:ext>
                      </a:extLst>
                    </a:blip>
                    <a:srcRect l="4446" t="5471" r="8376" b="1980"/>
                    <a:stretch/>
                  </pic:blipFill>
                  <pic:spPr bwMode="auto">
                    <a:xfrm>
                      <a:off x="0" y="0"/>
                      <a:ext cx="287147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7302114" w14:textId="271A434E" w:rsidR="00850388" w:rsidRDefault="00850388" w:rsidP="00850388">
      <w:pPr>
        <w:jc w:val="left"/>
      </w:pPr>
      <w:r w:rsidRPr="00A3304E">
        <w:rPr>
          <w:b/>
        </w:rPr>
        <w:t>Description</w:t>
      </w:r>
      <w:r w:rsidRPr="00A3304E">
        <w:t xml:space="preserve"> </w:t>
      </w:r>
      <w:r>
        <w:tab/>
        <w:t xml:space="preserve">Open stands of large trees, primarily </w:t>
      </w:r>
      <w:r>
        <w:rPr>
          <w:i/>
        </w:rPr>
        <w:t xml:space="preserve">P. monticola, A. </w:t>
      </w:r>
      <w:r w:rsidRPr="00850388">
        <w:rPr>
          <w:i/>
        </w:rPr>
        <w:t>concolor</w:t>
      </w:r>
      <w:r>
        <w:t xml:space="preserve">, and </w:t>
      </w:r>
      <w:r>
        <w:rPr>
          <w:i/>
        </w:rPr>
        <w:t xml:space="preserve">P. ponderosa. </w:t>
      </w:r>
      <w:r w:rsidRPr="00A3304E">
        <w:t>C</w:t>
      </w:r>
      <w:r>
        <w:t xml:space="preserve">anopy cover is less than 40% </w:t>
      </w:r>
      <w:r w:rsidRPr="00A3304E">
        <w:t>(</w:t>
      </w:r>
      <w:r>
        <w:t>LandFire 2007</w:t>
      </w:r>
      <w:r w:rsidRPr="00A3304E">
        <w:t>)</w:t>
      </w:r>
      <w:r>
        <w:t>.</w:t>
      </w:r>
    </w:p>
    <w:p w14:paraId="4C71C2EC" w14:textId="77777777" w:rsidR="00850388" w:rsidRDefault="00850388" w:rsidP="00850388">
      <w:pPr>
        <w:jc w:val="left"/>
      </w:pPr>
    </w:p>
    <w:p w14:paraId="434FBC97" w14:textId="2F29C4EB" w:rsidR="00850388" w:rsidRDefault="00850388" w:rsidP="00850388">
      <w:pPr>
        <w:jc w:val="left"/>
      </w:pPr>
      <w:r w:rsidRPr="00A3304E">
        <w:rPr>
          <w:b/>
        </w:rPr>
        <w:t>Succession Transition</w:t>
      </w:r>
      <w:r w:rsidRPr="00A3304E">
        <w:t xml:space="preserve"> </w:t>
      </w:r>
      <w:r>
        <w:tab/>
      </w:r>
      <w:r w:rsidRPr="00A3304E">
        <w:t xml:space="preserve">This class will maintain under low mortality disturbance, but after </w:t>
      </w:r>
      <w:r>
        <w:t>3</w:t>
      </w:r>
      <w:r w:rsidRPr="00A3304E">
        <w:t xml:space="preserve">0 years without fire, this class </w:t>
      </w:r>
      <w:r>
        <w:t>succeeds to LDC at a rate of 0.8 per timestep.</w:t>
      </w:r>
    </w:p>
    <w:p w14:paraId="6502B310" w14:textId="77777777" w:rsidR="00850388" w:rsidRDefault="00850388" w:rsidP="00850388">
      <w:pPr>
        <w:jc w:val="left"/>
      </w:pPr>
    </w:p>
    <w:p w14:paraId="339C4E38" w14:textId="027EDC3F" w:rsidR="00850388" w:rsidRPr="00A3304E" w:rsidRDefault="00850388" w:rsidP="00850388">
      <w:pPr>
        <w:jc w:val="left"/>
      </w:pPr>
      <w:r w:rsidRPr="00A3304E">
        <w:rPr>
          <w:b/>
        </w:rPr>
        <w:t>Wildfire Transition</w:t>
      </w:r>
      <w:r w:rsidRPr="00A3304E">
        <w:t xml:space="preserve"> </w:t>
      </w:r>
      <w:r>
        <w:tab/>
      </w:r>
      <w:r w:rsidRPr="00A3304E">
        <w:t>High mortality wildfire (</w:t>
      </w:r>
      <w:r>
        <w:t>9.1</w:t>
      </w:r>
      <w:r w:rsidRPr="00A3304E">
        <w:t xml:space="preserve">% </w:t>
      </w:r>
      <w:r>
        <w:t>of fires in this condition)</w:t>
      </w:r>
      <w:r w:rsidRPr="00A3304E">
        <w:t xml:space="preserve"> recycles the p</w:t>
      </w:r>
      <w:r>
        <w:t>atch through the ED</w:t>
      </w:r>
      <w:r w:rsidRPr="00A3304E">
        <w:t xml:space="preserve"> </w:t>
      </w:r>
      <w:r>
        <w:t>condition</w:t>
      </w:r>
      <w:r w:rsidRPr="00A3304E">
        <w:t>. Low mortality wildfire (9</w:t>
      </w:r>
      <w:r>
        <w:t>0.9</w:t>
      </w:r>
      <w:r w:rsidRPr="00A3304E">
        <w:t>%) maintains the patch in LDO.</w:t>
      </w:r>
    </w:p>
    <w:p w14:paraId="0E719948" w14:textId="77777777" w:rsidR="00850388" w:rsidRDefault="00850388" w:rsidP="00850388">
      <w:pPr>
        <w:pBdr>
          <w:bottom w:val="single" w:sz="4" w:space="1" w:color="auto"/>
        </w:pBdr>
        <w:ind w:firstLine="360"/>
        <w:jc w:val="left"/>
      </w:pPr>
    </w:p>
    <w:p w14:paraId="371217F4" w14:textId="77777777" w:rsidR="00850388" w:rsidRDefault="00850388" w:rsidP="00850388">
      <w:pPr>
        <w:ind w:firstLine="360"/>
        <w:jc w:val="left"/>
      </w:pPr>
    </w:p>
    <w:p w14:paraId="4C2DB957" w14:textId="6FD853D2" w:rsidR="00850388" w:rsidRPr="00A3304E" w:rsidRDefault="00850388" w:rsidP="00850388">
      <w:pPr>
        <w:jc w:val="left"/>
        <w:rPr>
          <w:b/>
        </w:rPr>
      </w:pPr>
      <w:r w:rsidRPr="00A3304E">
        <w:rPr>
          <w:b/>
          <w:sz w:val="28"/>
        </w:rPr>
        <w:t xml:space="preserve">Late Development </w:t>
      </w:r>
      <w:r>
        <w:rPr>
          <w:b/>
          <w:sz w:val="28"/>
        </w:rPr>
        <w:t>–</w:t>
      </w:r>
      <w:r w:rsidRPr="00A3304E">
        <w:rPr>
          <w:b/>
          <w:sz w:val="28"/>
        </w:rPr>
        <w:t xml:space="preserve"> Closed (LDC)</w:t>
      </w:r>
    </w:p>
    <w:p w14:paraId="112C264F" w14:textId="77777777" w:rsidR="00850388" w:rsidRDefault="00850388" w:rsidP="00850388">
      <w:pPr>
        <w:jc w:val="left"/>
        <w:rPr>
          <w:b/>
        </w:rPr>
      </w:pPr>
    </w:p>
    <w:p w14:paraId="65C66729" w14:textId="290B8C0E" w:rsidR="00850388" w:rsidRPr="00A3304E" w:rsidRDefault="00850388" w:rsidP="00850388">
      <w:pPr>
        <w:jc w:val="left"/>
      </w:pPr>
      <w:r w:rsidRPr="00A3304E">
        <w:rPr>
          <w:b/>
        </w:rPr>
        <w:t>Description</w:t>
      </w:r>
      <w:r>
        <w:tab/>
        <w:t xml:space="preserve">Closed stands of large trees, primarily </w:t>
      </w:r>
      <w:r>
        <w:rPr>
          <w:i/>
        </w:rPr>
        <w:t xml:space="preserve">P. monticola, A. </w:t>
      </w:r>
      <w:r w:rsidRPr="00850388">
        <w:rPr>
          <w:i/>
        </w:rPr>
        <w:t>concolor</w:t>
      </w:r>
      <w:r>
        <w:t xml:space="preserve">, and </w:t>
      </w:r>
      <w:r>
        <w:rPr>
          <w:i/>
        </w:rPr>
        <w:t>P. ponderosa</w:t>
      </w:r>
      <w:r w:rsidRPr="00A3304E">
        <w:t xml:space="preserve">. </w:t>
      </w:r>
      <w:r>
        <w:t>Forests in this landcover type rarely exceed 80% canopy closure even in closed, dense conditions. Canopy cover exceeds 4</w:t>
      </w:r>
      <w:r w:rsidRPr="00A3304E">
        <w:t>0%.</w:t>
      </w:r>
    </w:p>
    <w:p w14:paraId="07706E28" w14:textId="77777777" w:rsidR="00850388" w:rsidRDefault="00850388" w:rsidP="00850388">
      <w:pPr>
        <w:jc w:val="left"/>
        <w:rPr>
          <w:b/>
        </w:rPr>
      </w:pPr>
    </w:p>
    <w:p w14:paraId="7F3EBB56" w14:textId="77777777" w:rsidR="00850388" w:rsidRPr="00A3304E" w:rsidRDefault="00850388" w:rsidP="00850388">
      <w:pPr>
        <w:jc w:val="left"/>
      </w:pPr>
      <w:r w:rsidRPr="00A3304E">
        <w:rPr>
          <w:b/>
        </w:rPr>
        <w:t>Succession Transition</w:t>
      </w:r>
      <w:r w:rsidRPr="00A3304E">
        <w:t xml:space="preserve"> This class will maintain in the absence of disturbance.</w:t>
      </w:r>
    </w:p>
    <w:p w14:paraId="24A5C509" w14:textId="77777777" w:rsidR="00850388" w:rsidRDefault="00850388" w:rsidP="00850388">
      <w:pPr>
        <w:jc w:val="left"/>
        <w:rPr>
          <w:b/>
        </w:rPr>
      </w:pPr>
    </w:p>
    <w:p w14:paraId="2A36E7F4" w14:textId="1E37F6C0" w:rsidR="00850388" w:rsidRPr="00A3304E" w:rsidRDefault="00850388" w:rsidP="00850388">
      <w:pPr>
        <w:jc w:val="left"/>
      </w:pPr>
      <w:r w:rsidRPr="00A3304E">
        <w:rPr>
          <w:b/>
        </w:rPr>
        <w:t>Wildfire Transition</w:t>
      </w:r>
      <w:r w:rsidRPr="00A3304E">
        <w:t xml:space="preserve"> High mortality wildfire (</w:t>
      </w:r>
      <w:r>
        <w:t>16.7</w:t>
      </w:r>
      <w:r w:rsidRPr="00A3304E">
        <w:t xml:space="preserve">% </w:t>
      </w:r>
      <w:r>
        <w:t>of fires in this condition)</w:t>
      </w:r>
      <w:r w:rsidRPr="00A3304E">
        <w:t xml:space="preserve"> recycles the</w:t>
      </w:r>
      <w:r>
        <w:t xml:space="preserve"> patch through the ED</w:t>
      </w:r>
      <w:r w:rsidRPr="00A3304E">
        <w:t xml:space="preserve"> </w:t>
      </w:r>
      <w:r>
        <w:t>condition</w:t>
      </w:r>
      <w:r w:rsidRPr="00A3304E">
        <w:t>. Low mortality wildfire (</w:t>
      </w:r>
      <w:r>
        <w:t>83.3%</w:t>
      </w:r>
      <w:r w:rsidRPr="00A3304E">
        <w:t xml:space="preserve">%) </w:t>
      </w:r>
      <w:r w:rsidRPr="006F682A">
        <w:t>opens the stand up</w:t>
      </w:r>
      <w:r>
        <w:t xml:space="preserve"> to</w:t>
      </w:r>
      <w:r w:rsidRPr="006F682A">
        <w:t xml:space="preserve"> </w:t>
      </w:r>
      <w:r>
        <w:t>L</w:t>
      </w:r>
      <w:r w:rsidRPr="006F682A">
        <w:t xml:space="preserve">DO </w:t>
      </w:r>
      <w:r>
        <w:t>80</w:t>
      </w:r>
      <w:r w:rsidRPr="006F682A">
        <w:t xml:space="preserve">% of the time; otherwise, the patch remains in </w:t>
      </w:r>
      <w:r>
        <w:t>L</w:t>
      </w:r>
      <w:r w:rsidRPr="006F682A">
        <w:t>DC.</w:t>
      </w:r>
    </w:p>
    <w:p w14:paraId="68A34BC2" w14:textId="77777777" w:rsidR="00041798" w:rsidRDefault="00041798" w:rsidP="00016489">
      <w:pPr>
        <w:pBdr>
          <w:bottom w:val="single" w:sz="4" w:space="1" w:color="auto"/>
        </w:pBdr>
        <w:jc w:val="left"/>
      </w:pPr>
    </w:p>
    <w:p w14:paraId="28C6AB31" w14:textId="77777777" w:rsidR="006105CB" w:rsidRDefault="006105CB" w:rsidP="006105CB">
      <w:pPr>
        <w:jc w:val="left"/>
        <w:rPr>
          <w:color w:val="365F91" w:themeColor="accent1" w:themeShade="BF"/>
        </w:rPr>
      </w:pPr>
    </w:p>
    <w:p w14:paraId="68A23969" w14:textId="77777777" w:rsidR="006105CB" w:rsidRDefault="006105CB" w:rsidP="006105CB">
      <w:pPr>
        <w:jc w:val="left"/>
        <w:rPr>
          <w:b/>
          <w:sz w:val="32"/>
        </w:rPr>
      </w:pPr>
      <w:r w:rsidRPr="006F682A">
        <w:rPr>
          <w:b/>
          <w:sz w:val="32"/>
        </w:rPr>
        <w:t>Condition Classification</w:t>
      </w:r>
    </w:p>
    <w:p w14:paraId="32815D58" w14:textId="77777777" w:rsidR="006105CB" w:rsidRPr="00374919" w:rsidRDefault="006105CB" w:rsidP="006105CB">
      <w:pPr>
        <w:autoSpaceDE/>
        <w:autoSpaceDN/>
        <w:adjustRightInd/>
        <w:jc w:val="left"/>
        <w:rPr>
          <w:sz w:val="22"/>
          <w:szCs w:val="24"/>
        </w:rPr>
      </w:pPr>
      <w:r w:rsidRPr="00374919">
        <w:rPr>
          <w:sz w:val="22"/>
          <w:szCs w:val="24"/>
        </w:rPr>
        <w:t>Table 2. Classification of cover condition for SMC. Diameter at Breast Height (DBH) and Cover From Above (CFA) values taken from EVeg polygons. DBH categories are: null, 0-0.9”, 1-</w:t>
      </w:r>
      <w:r>
        <w:rPr>
          <w:sz w:val="22"/>
          <w:szCs w:val="24"/>
        </w:rPr>
        <w:t>4</w:t>
      </w:r>
      <w:r w:rsidRPr="00374919">
        <w:rPr>
          <w:sz w:val="22"/>
          <w:szCs w:val="24"/>
        </w:rPr>
        <w:t>.9”, 5-9.9”, 10-19.9”, 20-29.9”, 30”+. CFA categories are null, 0-10%, 10-20%, … , 90-100%. Each row in the table below should be read with a boolean AND across each column.</w:t>
      </w:r>
    </w:p>
    <w:p w14:paraId="27E6B789" w14:textId="77777777" w:rsidR="006105CB" w:rsidRPr="006F682A" w:rsidRDefault="006105CB" w:rsidP="006105CB">
      <w:pPr>
        <w:jc w:val="left"/>
        <w:rPr>
          <w:szCs w:val="24"/>
        </w:rPr>
      </w:pPr>
    </w:p>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6105CB" w:rsidRPr="00664ACB" w14:paraId="4EDA4EEE" w14:textId="77777777" w:rsidTr="006105CB">
        <w:trPr>
          <w:trHeight w:val="360"/>
          <w:jc w:val="center"/>
        </w:trPr>
        <w:tc>
          <w:tcPr>
            <w:tcW w:w="1867" w:type="dxa"/>
            <w:tcBorders>
              <w:top w:val="single" w:sz="4" w:space="0" w:color="auto"/>
              <w:bottom w:val="single" w:sz="4" w:space="0" w:color="auto"/>
            </w:tcBorders>
            <w:vAlign w:val="center"/>
          </w:tcPr>
          <w:p w14:paraId="591BCFF2" w14:textId="77777777" w:rsidR="006105CB" w:rsidRPr="006F682A" w:rsidRDefault="006105CB" w:rsidP="006105CB">
            <w:pPr>
              <w:jc w:val="left"/>
              <w:rPr>
                <w:szCs w:val="24"/>
              </w:rPr>
            </w:pPr>
            <w:r w:rsidRPr="006F682A">
              <w:rPr>
                <w:szCs w:val="24"/>
              </w:rPr>
              <w:t>Cover Condition</w:t>
            </w:r>
          </w:p>
        </w:tc>
        <w:tc>
          <w:tcPr>
            <w:tcW w:w="1963" w:type="dxa"/>
            <w:tcBorders>
              <w:top w:val="single" w:sz="4" w:space="0" w:color="auto"/>
              <w:bottom w:val="single" w:sz="4" w:space="0" w:color="auto"/>
            </w:tcBorders>
            <w:vAlign w:val="center"/>
          </w:tcPr>
          <w:p w14:paraId="1B055434" w14:textId="77777777" w:rsidR="006105CB" w:rsidRPr="006F682A" w:rsidRDefault="006105CB" w:rsidP="006105CB">
            <w:pPr>
              <w:jc w:val="left"/>
              <w:rPr>
                <w:szCs w:val="24"/>
              </w:rPr>
            </w:pPr>
            <w:r w:rsidRPr="006F682A">
              <w:rPr>
                <w:szCs w:val="24"/>
              </w:rPr>
              <w:t>Overstory Tree</w:t>
            </w:r>
          </w:p>
          <w:p w14:paraId="367C07D6" w14:textId="77777777" w:rsidR="006105CB" w:rsidRPr="006F682A" w:rsidRDefault="006105CB" w:rsidP="006105CB">
            <w:pPr>
              <w:jc w:val="left"/>
              <w:rPr>
                <w:szCs w:val="24"/>
              </w:rPr>
            </w:pPr>
            <w:r w:rsidRPr="006F682A">
              <w:rPr>
                <w:szCs w:val="24"/>
              </w:rPr>
              <w:t>Diameter 1 (DBH)</w:t>
            </w:r>
          </w:p>
        </w:tc>
        <w:tc>
          <w:tcPr>
            <w:tcW w:w="1886" w:type="dxa"/>
            <w:tcBorders>
              <w:top w:val="single" w:sz="4" w:space="0" w:color="auto"/>
              <w:bottom w:val="single" w:sz="4" w:space="0" w:color="auto"/>
            </w:tcBorders>
            <w:vAlign w:val="center"/>
          </w:tcPr>
          <w:p w14:paraId="4F457861" w14:textId="77777777" w:rsidR="006105CB" w:rsidRPr="006F682A" w:rsidRDefault="006105CB" w:rsidP="006105CB">
            <w:pPr>
              <w:jc w:val="left"/>
              <w:rPr>
                <w:szCs w:val="24"/>
              </w:rPr>
            </w:pPr>
            <w:r w:rsidRPr="006F682A">
              <w:rPr>
                <w:szCs w:val="24"/>
              </w:rPr>
              <w:t>Overstory Tree</w:t>
            </w:r>
          </w:p>
          <w:p w14:paraId="372800B3" w14:textId="77777777" w:rsidR="006105CB" w:rsidRPr="006F682A" w:rsidRDefault="006105CB" w:rsidP="006105CB">
            <w:pPr>
              <w:jc w:val="left"/>
              <w:rPr>
                <w:szCs w:val="24"/>
              </w:rPr>
            </w:pPr>
            <w:r w:rsidRPr="006F682A">
              <w:rPr>
                <w:szCs w:val="24"/>
              </w:rPr>
              <w:t>Diameter 2 (DBH)</w:t>
            </w:r>
          </w:p>
        </w:tc>
        <w:tc>
          <w:tcPr>
            <w:tcW w:w="1363" w:type="dxa"/>
            <w:tcBorders>
              <w:top w:val="single" w:sz="4" w:space="0" w:color="auto"/>
              <w:bottom w:val="single" w:sz="4" w:space="0" w:color="auto"/>
            </w:tcBorders>
            <w:vAlign w:val="center"/>
          </w:tcPr>
          <w:p w14:paraId="14AF963E" w14:textId="77777777" w:rsidR="006105CB" w:rsidRPr="006F682A" w:rsidRDefault="006105CB" w:rsidP="006105CB">
            <w:pPr>
              <w:jc w:val="left"/>
              <w:rPr>
                <w:szCs w:val="24"/>
              </w:rPr>
            </w:pPr>
            <w:r w:rsidRPr="006F682A">
              <w:rPr>
                <w:szCs w:val="24"/>
              </w:rPr>
              <w:t>Total Tree</w:t>
            </w:r>
          </w:p>
          <w:p w14:paraId="2F237961" w14:textId="77777777" w:rsidR="006105CB" w:rsidRPr="006F682A" w:rsidRDefault="006105CB" w:rsidP="006105CB">
            <w:pPr>
              <w:jc w:val="left"/>
              <w:rPr>
                <w:szCs w:val="24"/>
              </w:rPr>
            </w:pPr>
            <w:r w:rsidRPr="006F682A">
              <w:rPr>
                <w:szCs w:val="24"/>
              </w:rPr>
              <w:t>CFA (%)</w:t>
            </w:r>
          </w:p>
        </w:tc>
        <w:tc>
          <w:tcPr>
            <w:tcW w:w="1080" w:type="dxa"/>
            <w:tcBorders>
              <w:top w:val="single" w:sz="4" w:space="0" w:color="auto"/>
              <w:bottom w:val="single" w:sz="4" w:space="0" w:color="auto"/>
            </w:tcBorders>
            <w:vAlign w:val="center"/>
          </w:tcPr>
          <w:p w14:paraId="7EF44232" w14:textId="77777777" w:rsidR="006105CB" w:rsidRPr="006F682A" w:rsidRDefault="006105CB" w:rsidP="006105CB">
            <w:pPr>
              <w:jc w:val="left"/>
              <w:rPr>
                <w:szCs w:val="24"/>
              </w:rPr>
            </w:pPr>
            <w:r w:rsidRPr="006F682A">
              <w:rPr>
                <w:szCs w:val="24"/>
              </w:rPr>
              <w:t>Conifer</w:t>
            </w:r>
          </w:p>
          <w:p w14:paraId="7B9C6EB3" w14:textId="77777777" w:rsidR="006105CB" w:rsidRPr="006F682A" w:rsidRDefault="006105CB" w:rsidP="006105CB">
            <w:pPr>
              <w:jc w:val="left"/>
              <w:rPr>
                <w:szCs w:val="24"/>
              </w:rPr>
            </w:pPr>
            <w:r w:rsidRPr="006F682A">
              <w:rPr>
                <w:szCs w:val="24"/>
              </w:rPr>
              <w:t>CFA (%)</w:t>
            </w:r>
          </w:p>
        </w:tc>
        <w:tc>
          <w:tcPr>
            <w:tcW w:w="1081" w:type="dxa"/>
            <w:tcBorders>
              <w:top w:val="single" w:sz="4" w:space="0" w:color="auto"/>
              <w:bottom w:val="single" w:sz="4" w:space="0" w:color="auto"/>
            </w:tcBorders>
            <w:vAlign w:val="center"/>
          </w:tcPr>
          <w:p w14:paraId="3B4FB0A7" w14:textId="77777777" w:rsidR="006105CB" w:rsidRPr="006F682A" w:rsidRDefault="006105CB" w:rsidP="006105CB">
            <w:pPr>
              <w:jc w:val="left"/>
              <w:rPr>
                <w:szCs w:val="24"/>
              </w:rPr>
            </w:pPr>
            <w:r w:rsidRPr="006F682A">
              <w:rPr>
                <w:szCs w:val="24"/>
              </w:rPr>
              <w:t>Hardwood</w:t>
            </w:r>
          </w:p>
          <w:p w14:paraId="7B38D899" w14:textId="77777777" w:rsidR="006105CB" w:rsidRPr="006F682A" w:rsidRDefault="006105CB" w:rsidP="006105CB">
            <w:pPr>
              <w:jc w:val="left"/>
              <w:rPr>
                <w:szCs w:val="24"/>
              </w:rPr>
            </w:pPr>
            <w:r w:rsidRPr="006F682A">
              <w:rPr>
                <w:szCs w:val="24"/>
              </w:rPr>
              <w:t>CFA (%)</w:t>
            </w:r>
          </w:p>
        </w:tc>
      </w:tr>
      <w:tr w:rsidR="006105CB" w:rsidRPr="00664ACB" w14:paraId="4392AA20" w14:textId="77777777" w:rsidTr="006105CB">
        <w:trPr>
          <w:trHeight w:val="360"/>
          <w:jc w:val="center"/>
        </w:trPr>
        <w:tc>
          <w:tcPr>
            <w:tcW w:w="1867" w:type="dxa"/>
            <w:tcBorders>
              <w:bottom w:val="single" w:sz="4" w:space="0" w:color="auto"/>
            </w:tcBorders>
            <w:vAlign w:val="center"/>
          </w:tcPr>
          <w:p w14:paraId="1B39C8B7" w14:textId="77777777" w:rsidR="006105CB" w:rsidRPr="006F682A" w:rsidRDefault="006105CB" w:rsidP="006105CB">
            <w:pPr>
              <w:jc w:val="left"/>
              <w:rPr>
                <w:szCs w:val="24"/>
              </w:rPr>
            </w:pPr>
            <w:r w:rsidRPr="006F682A">
              <w:rPr>
                <w:szCs w:val="24"/>
              </w:rPr>
              <w:t>Early All</w:t>
            </w:r>
          </w:p>
        </w:tc>
        <w:tc>
          <w:tcPr>
            <w:tcW w:w="1963" w:type="dxa"/>
            <w:tcBorders>
              <w:bottom w:val="single" w:sz="4" w:space="0" w:color="auto"/>
            </w:tcBorders>
            <w:vAlign w:val="center"/>
          </w:tcPr>
          <w:p w14:paraId="12D5D153" w14:textId="77777777" w:rsidR="006105CB" w:rsidRPr="006F682A" w:rsidRDefault="006105CB" w:rsidP="006105CB">
            <w:pPr>
              <w:jc w:val="left"/>
              <w:rPr>
                <w:szCs w:val="24"/>
              </w:rPr>
            </w:pPr>
            <w:r w:rsidRPr="006F682A">
              <w:rPr>
                <w:szCs w:val="24"/>
              </w:rPr>
              <w:t>0-</w:t>
            </w:r>
            <w:r>
              <w:rPr>
                <w:szCs w:val="24"/>
              </w:rPr>
              <w:t>4</w:t>
            </w:r>
            <w:r w:rsidRPr="006F682A">
              <w:rPr>
                <w:szCs w:val="24"/>
              </w:rPr>
              <w:t>.9”</w:t>
            </w:r>
          </w:p>
        </w:tc>
        <w:tc>
          <w:tcPr>
            <w:tcW w:w="1886" w:type="dxa"/>
            <w:tcBorders>
              <w:bottom w:val="single" w:sz="4" w:space="0" w:color="auto"/>
            </w:tcBorders>
            <w:vAlign w:val="center"/>
          </w:tcPr>
          <w:p w14:paraId="2FCC2383" w14:textId="77777777" w:rsidR="006105CB" w:rsidRPr="006F682A" w:rsidRDefault="006105CB" w:rsidP="006105CB">
            <w:pPr>
              <w:jc w:val="left"/>
              <w:rPr>
                <w:szCs w:val="24"/>
              </w:rPr>
            </w:pPr>
            <w:r w:rsidRPr="006F682A">
              <w:rPr>
                <w:szCs w:val="24"/>
              </w:rPr>
              <w:t>any</w:t>
            </w:r>
          </w:p>
        </w:tc>
        <w:tc>
          <w:tcPr>
            <w:tcW w:w="1363" w:type="dxa"/>
            <w:tcBorders>
              <w:bottom w:val="single" w:sz="4" w:space="0" w:color="auto"/>
            </w:tcBorders>
            <w:vAlign w:val="center"/>
          </w:tcPr>
          <w:p w14:paraId="457B2192" w14:textId="77777777" w:rsidR="006105CB" w:rsidRPr="006F682A" w:rsidRDefault="006105CB" w:rsidP="006105CB">
            <w:pPr>
              <w:jc w:val="left"/>
              <w:rPr>
                <w:szCs w:val="24"/>
              </w:rPr>
            </w:pPr>
            <w:r w:rsidRPr="006F682A">
              <w:rPr>
                <w:szCs w:val="24"/>
              </w:rPr>
              <w:t>any</w:t>
            </w:r>
          </w:p>
        </w:tc>
        <w:tc>
          <w:tcPr>
            <w:tcW w:w="1080" w:type="dxa"/>
            <w:tcBorders>
              <w:bottom w:val="single" w:sz="4" w:space="0" w:color="auto"/>
            </w:tcBorders>
            <w:vAlign w:val="center"/>
          </w:tcPr>
          <w:p w14:paraId="1FC3B4BC" w14:textId="77777777" w:rsidR="006105CB" w:rsidRPr="006F682A" w:rsidRDefault="006105CB" w:rsidP="006105CB">
            <w:pPr>
              <w:jc w:val="left"/>
              <w:rPr>
                <w:szCs w:val="24"/>
              </w:rPr>
            </w:pPr>
            <w:r w:rsidRPr="006F682A">
              <w:rPr>
                <w:szCs w:val="24"/>
              </w:rPr>
              <w:t>any</w:t>
            </w:r>
          </w:p>
        </w:tc>
        <w:tc>
          <w:tcPr>
            <w:tcW w:w="1081" w:type="dxa"/>
            <w:tcBorders>
              <w:bottom w:val="single" w:sz="4" w:space="0" w:color="auto"/>
            </w:tcBorders>
            <w:vAlign w:val="center"/>
          </w:tcPr>
          <w:p w14:paraId="31F949D8" w14:textId="77777777" w:rsidR="006105CB" w:rsidRPr="006F682A" w:rsidRDefault="006105CB" w:rsidP="006105CB">
            <w:pPr>
              <w:jc w:val="left"/>
              <w:rPr>
                <w:szCs w:val="24"/>
              </w:rPr>
            </w:pPr>
            <w:r w:rsidRPr="006F682A">
              <w:rPr>
                <w:szCs w:val="24"/>
              </w:rPr>
              <w:t>any</w:t>
            </w:r>
          </w:p>
        </w:tc>
      </w:tr>
      <w:tr w:rsidR="006105CB" w:rsidRPr="00664ACB" w14:paraId="2225F547" w14:textId="77777777" w:rsidTr="006105CB">
        <w:trPr>
          <w:trHeight w:val="360"/>
          <w:jc w:val="center"/>
        </w:trPr>
        <w:tc>
          <w:tcPr>
            <w:tcW w:w="1867" w:type="dxa"/>
            <w:vAlign w:val="center"/>
          </w:tcPr>
          <w:p w14:paraId="784F3B87" w14:textId="77777777" w:rsidR="006105CB" w:rsidRPr="006F682A" w:rsidRDefault="006105CB" w:rsidP="006105CB">
            <w:pPr>
              <w:jc w:val="left"/>
              <w:rPr>
                <w:szCs w:val="24"/>
              </w:rPr>
            </w:pPr>
            <w:r w:rsidRPr="006F682A">
              <w:rPr>
                <w:szCs w:val="24"/>
              </w:rPr>
              <w:t>Mid Open</w:t>
            </w:r>
          </w:p>
        </w:tc>
        <w:tc>
          <w:tcPr>
            <w:tcW w:w="1963" w:type="dxa"/>
            <w:vAlign w:val="center"/>
          </w:tcPr>
          <w:p w14:paraId="12ABACF2" w14:textId="77777777" w:rsidR="006105CB" w:rsidRPr="006F682A" w:rsidRDefault="006105CB" w:rsidP="006105CB">
            <w:pPr>
              <w:jc w:val="left"/>
              <w:rPr>
                <w:szCs w:val="24"/>
              </w:rPr>
            </w:pPr>
            <w:r w:rsidRPr="006F682A">
              <w:rPr>
                <w:szCs w:val="24"/>
              </w:rPr>
              <w:t>5-19.9”</w:t>
            </w:r>
          </w:p>
        </w:tc>
        <w:tc>
          <w:tcPr>
            <w:tcW w:w="1886" w:type="dxa"/>
            <w:vAlign w:val="center"/>
          </w:tcPr>
          <w:p w14:paraId="5F167FFA" w14:textId="77777777" w:rsidR="006105CB" w:rsidRPr="006F682A" w:rsidRDefault="006105CB" w:rsidP="006105CB">
            <w:pPr>
              <w:jc w:val="left"/>
              <w:rPr>
                <w:szCs w:val="24"/>
              </w:rPr>
            </w:pPr>
            <w:r w:rsidRPr="006F682A">
              <w:rPr>
                <w:szCs w:val="24"/>
              </w:rPr>
              <w:t>any</w:t>
            </w:r>
          </w:p>
        </w:tc>
        <w:tc>
          <w:tcPr>
            <w:tcW w:w="1363" w:type="dxa"/>
            <w:vAlign w:val="center"/>
          </w:tcPr>
          <w:p w14:paraId="7D387F45" w14:textId="7F4291C2" w:rsidR="006105CB" w:rsidRPr="006F682A" w:rsidRDefault="006105CB" w:rsidP="009665B8">
            <w:pPr>
              <w:jc w:val="left"/>
              <w:rPr>
                <w:szCs w:val="24"/>
              </w:rPr>
            </w:pPr>
            <w:r w:rsidRPr="006F682A">
              <w:rPr>
                <w:szCs w:val="24"/>
              </w:rPr>
              <w:t>&lt;</w:t>
            </w:r>
            <w:r w:rsidR="009665B8">
              <w:rPr>
                <w:szCs w:val="24"/>
              </w:rPr>
              <w:t>4</w:t>
            </w:r>
            <w:r w:rsidRPr="006F682A">
              <w:rPr>
                <w:szCs w:val="24"/>
              </w:rPr>
              <w:t>0</w:t>
            </w:r>
          </w:p>
        </w:tc>
        <w:tc>
          <w:tcPr>
            <w:tcW w:w="1080" w:type="dxa"/>
            <w:vAlign w:val="center"/>
          </w:tcPr>
          <w:p w14:paraId="7B777804" w14:textId="77777777" w:rsidR="006105CB" w:rsidRPr="006F682A" w:rsidRDefault="006105CB" w:rsidP="006105CB">
            <w:pPr>
              <w:jc w:val="left"/>
              <w:rPr>
                <w:szCs w:val="24"/>
              </w:rPr>
            </w:pPr>
            <w:r w:rsidRPr="006F682A">
              <w:rPr>
                <w:szCs w:val="24"/>
              </w:rPr>
              <w:t>any</w:t>
            </w:r>
          </w:p>
        </w:tc>
        <w:tc>
          <w:tcPr>
            <w:tcW w:w="1081" w:type="dxa"/>
            <w:vAlign w:val="center"/>
          </w:tcPr>
          <w:p w14:paraId="31443EB2" w14:textId="77777777" w:rsidR="006105CB" w:rsidRPr="006F682A" w:rsidRDefault="006105CB" w:rsidP="006105CB">
            <w:pPr>
              <w:jc w:val="left"/>
              <w:rPr>
                <w:szCs w:val="24"/>
              </w:rPr>
            </w:pPr>
            <w:r w:rsidRPr="006F682A">
              <w:rPr>
                <w:szCs w:val="24"/>
              </w:rPr>
              <w:t>any</w:t>
            </w:r>
          </w:p>
        </w:tc>
      </w:tr>
      <w:tr w:rsidR="006105CB" w:rsidRPr="00664ACB" w14:paraId="1F3A152C" w14:textId="77777777" w:rsidTr="006105CB">
        <w:trPr>
          <w:trHeight w:val="360"/>
          <w:jc w:val="center"/>
        </w:trPr>
        <w:tc>
          <w:tcPr>
            <w:tcW w:w="1867" w:type="dxa"/>
            <w:tcBorders>
              <w:bottom w:val="single" w:sz="4" w:space="0" w:color="auto"/>
            </w:tcBorders>
            <w:vAlign w:val="center"/>
          </w:tcPr>
          <w:p w14:paraId="7228E141" w14:textId="77777777" w:rsidR="006105CB" w:rsidRPr="006F682A" w:rsidRDefault="006105CB" w:rsidP="006105CB">
            <w:pPr>
              <w:jc w:val="left"/>
              <w:rPr>
                <w:szCs w:val="24"/>
              </w:rPr>
            </w:pPr>
            <w:r w:rsidRPr="006F682A">
              <w:rPr>
                <w:szCs w:val="24"/>
              </w:rPr>
              <w:t>Mid Closed</w:t>
            </w:r>
          </w:p>
        </w:tc>
        <w:tc>
          <w:tcPr>
            <w:tcW w:w="1963" w:type="dxa"/>
            <w:tcBorders>
              <w:bottom w:val="single" w:sz="4" w:space="0" w:color="auto"/>
            </w:tcBorders>
            <w:vAlign w:val="center"/>
          </w:tcPr>
          <w:p w14:paraId="255679EB" w14:textId="77777777" w:rsidR="006105CB" w:rsidRPr="006F682A" w:rsidRDefault="006105CB" w:rsidP="006105CB">
            <w:pPr>
              <w:jc w:val="left"/>
              <w:rPr>
                <w:szCs w:val="24"/>
              </w:rPr>
            </w:pPr>
            <w:r w:rsidRPr="006F682A">
              <w:rPr>
                <w:szCs w:val="24"/>
              </w:rPr>
              <w:t>5-19.9”</w:t>
            </w:r>
          </w:p>
        </w:tc>
        <w:tc>
          <w:tcPr>
            <w:tcW w:w="1886" w:type="dxa"/>
            <w:tcBorders>
              <w:bottom w:val="single" w:sz="4" w:space="0" w:color="auto"/>
            </w:tcBorders>
            <w:vAlign w:val="center"/>
          </w:tcPr>
          <w:p w14:paraId="018FF73B" w14:textId="77777777" w:rsidR="006105CB" w:rsidRPr="006F682A" w:rsidRDefault="006105CB" w:rsidP="006105CB">
            <w:pPr>
              <w:jc w:val="left"/>
              <w:rPr>
                <w:szCs w:val="24"/>
              </w:rPr>
            </w:pPr>
            <w:r w:rsidRPr="006F682A">
              <w:rPr>
                <w:szCs w:val="24"/>
              </w:rPr>
              <w:t>any</w:t>
            </w:r>
          </w:p>
        </w:tc>
        <w:tc>
          <w:tcPr>
            <w:tcW w:w="1363" w:type="dxa"/>
            <w:tcBorders>
              <w:bottom w:val="single" w:sz="4" w:space="0" w:color="auto"/>
            </w:tcBorders>
            <w:vAlign w:val="center"/>
          </w:tcPr>
          <w:p w14:paraId="0B0C3128" w14:textId="77777777" w:rsidR="006105CB" w:rsidRPr="006F682A" w:rsidRDefault="006105CB" w:rsidP="006105CB">
            <w:pPr>
              <w:jc w:val="left"/>
              <w:rPr>
                <w:szCs w:val="24"/>
              </w:rPr>
            </w:pPr>
            <w:r w:rsidRPr="006F682A">
              <w:rPr>
                <w:szCs w:val="24"/>
              </w:rPr>
              <w:t>null</w:t>
            </w:r>
          </w:p>
        </w:tc>
        <w:tc>
          <w:tcPr>
            <w:tcW w:w="1080" w:type="dxa"/>
            <w:tcBorders>
              <w:bottom w:val="single" w:sz="4" w:space="0" w:color="auto"/>
            </w:tcBorders>
            <w:vAlign w:val="center"/>
          </w:tcPr>
          <w:p w14:paraId="6DC69123" w14:textId="35C0480E" w:rsidR="006105CB" w:rsidRPr="006F682A" w:rsidRDefault="006105CB" w:rsidP="009665B8">
            <w:pPr>
              <w:jc w:val="left"/>
              <w:rPr>
                <w:szCs w:val="24"/>
              </w:rPr>
            </w:pPr>
            <w:r w:rsidRPr="006F682A">
              <w:rPr>
                <w:szCs w:val="24"/>
              </w:rPr>
              <w:t>&gt;</w:t>
            </w:r>
            <w:r w:rsidR="009665B8">
              <w:rPr>
                <w:szCs w:val="24"/>
              </w:rPr>
              <w:t>4</w:t>
            </w:r>
            <w:r w:rsidRPr="006F682A">
              <w:rPr>
                <w:szCs w:val="24"/>
              </w:rPr>
              <w:t>0</w:t>
            </w:r>
          </w:p>
        </w:tc>
        <w:tc>
          <w:tcPr>
            <w:tcW w:w="1081" w:type="dxa"/>
            <w:tcBorders>
              <w:bottom w:val="single" w:sz="4" w:space="0" w:color="auto"/>
            </w:tcBorders>
            <w:vAlign w:val="center"/>
          </w:tcPr>
          <w:p w14:paraId="75BAED9A" w14:textId="77777777" w:rsidR="006105CB" w:rsidRPr="006F682A" w:rsidRDefault="006105CB" w:rsidP="006105CB">
            <w:pPr>
              <w:jc w:val="left"/>
              <w:rPr>
                <w:szCs w:val="24"/>
              </w:rPr>
            </w:pPr>
            <w:r w:rsidRPr="006F682A">
              <w:rPr>
                <w:szCs w:val="24"/>
              </w:rPr>
              <w:t>any</w:t>
            </w:r>
          </w:p>
        </w:tc>
      </w:tr>
      <w:tr w:rsidR="00B1554F" w:rsidRPr="00664ACB" w14:paraId="2E213449" w14:textId="77777777" w:rsidTr="00B1554F">
        <w:trPr>
          <w:trHeight w:val="360"/>
          <w:jc w:val="center"/>
        </w:trPr>
        <w:tc>
          <w:tcPr>
            <w:tcW w:w="1867" w:type="dxa"/>
            <w:tcBorders>
              <w:top w:val="single" w:sz="4" w:space="0" w:color="auto"/>
            </w:tcBorders>
            <w:vAlign w:val="center"/>
          </w:tcPr>
          <w:p w14:paraId="124B05F0" w14:textId="761DA757" w:rsidR="00B1554F" w:rsidRPr="006F682A" w:rsidRDefault="00B1554F" w:rsidP="006105CB">
            <w:pPr>
              <w:jc w:val="left"/>
              <w:rPr>
                <w:szCs w:val="24"/>
              </w:rPr>
            </w:pPr>
            <w:r w:rsidRPr="006F682A">
              <w:rPr>
                <w:szCs w:val="24"/>
              </w:rPr>
              <w:t>Late Open</w:t>
            </w:r>
          </w:p>
        </w:tc>
        <w:tc>
          <w:tcPr>
            <w:tcW w:w="1963" w:type="dxa"/>
            <w:tcBorders>
              <w:top w:val="single" w:sz="4" w:space="0" w:color="auto"/>
            </w:tcBorders>
            <w:vAlign w:val="center"/>
          </w:tcPr>
          <w:p w14:paraId="632F9091" w14:textId="6AA9B627" w:rsidR="00B1554F" w:rsidRPr="006F682A" w:rsidRDefault="00B1554F" w:rsidP="006105CB">
            <w:pPr>
              <w:jc w:val="left"/>
              <w:rPr>
                <w:szCs w:val="24"/>
              </w:rPr>
            </w:pPr>
            <w:r w:rsidRPr="006F682A">
              <w:rPr>
                <w:szCs w:val="24"/>
              </w:rPr>
              <w:t>20”+</w:t>
            </w:r>
          </w:p>
        </w:tc>
        <w:tc>
          <w:tcPr>
            <w:tcW w:w="1886" w:type="dxa"/>
            <w:tcBorders>
              <w:top w:val="single" w:sz="4" w:space="0" w:color="auto"/>
            </w:tcBorders>
            <w:vAlign w:val="center"/>
          </w:tcPr>
          <w:p w14:paraId="32C9F659" w14:textId="0BBDF89F" w:rsidR="00B1554F" w:rsidRPr="006F682A" w:rsidRDefault="00B1554F" w:rsidP="006105CB">
            <w:pPr>
              <w:jc w:val="left"/>
              <w:rPr>
                <w:szCs w:val="24"/>
              </w:rPr>
            </w:pPr>
            <w:r w:rsidRPr="006F682A">
              <w:rPr>
                <w:szCs w:val="24"/>
              </w:rPr>
              <w:t>any</w:t>
            </w:r>
          </w:p>
        </w:tc>
        <w:tc>
          <w:tcPr>
            <w:tcW w:w="1363" w:type="dxa"/>
            <w:tcBorders>
              <w:top w:val="single" w:sz="4" w:space="0" w:color="auto"/>
            </w:tcBorders>
            <w:vAlign w:val="center"/>
          </w:tcPr>
          <w:p w14:paraId="08FC8ED9" w14:textId="11F7A84F" w:rsidR="00B1554F" w:rsidRPr="006F682A" w:rsidRDefault="00B1554F" w:rsidP="009665B8">
            <w:pPr>
              <w:jc w:val="left"/>
              <w:rPr>
                <w:szCs w:val="24"/>
              </w:rPr>
            </w:pPr>
            <w:r w:rsidRPr="006F682A">
              <w:rPr>
                <w:szCs w:val="24"/>
              </w:rPr>
              <w:t>&lt;</w:t>
            </w:r>
            <w:r>
              <w:rPr>
                <w:szCs w:val="24"/>
              </w:rPr>
              <w:t>4</w:t>
            </w:r>
            <w:r w:rsidRPr="006F682A">
              <w:rPr>
                <w:szCs w:val="24"/>
              </w:rPr>
              <w:t>0</w:t>
            </w:r>
          </w:p>
        </w:tc>
        <w:tc>
          <w:tcPr>
            <w:tcW w:w="1080" w:type="dxa"/>
            <w:tcBorders>
              <w:top w:val="single" w:sz="4" w:space="0" w:color="auto"/>
            </w:tcBorders>
            <w:vAlign w:val="center"/>
          </w:tcPr>
          <w:p w14:paraId="5C00DE7E" w14:textId="6500892E" w:rsidR="00B1554F" w:rsidRPr="006F682A" w:rsidRDefault="00B1554F" w:rsidP="006105CB">
            <w:pPr>
              <w:jc w:val="left"/>
              <w:rPr>
                <w:szCs w:val="24"/>
              </w:rPr>
            </w:pPr>
            <w:r w:rsidRPr="006F682A">
              <w:rPr>
                <w:szCs w:val="24"/>
              </w:rPr>
              <w:t>any</w:t>
            </w:r>
          </w:p>
        </w:tc>
        <w:tc>
          <w:tcPr>
            <w:tcW w:w="1081" w:type="dxa"/>
            <w:tcBorders>
              <w:top w:val="single" w:sz="4" w:space="0" w:color="auto"/>
            </w:tcBorders>
            <w:vAlign w:val="center"/>
          </w:tcPr>
          <w:p w14:paraId="28646270" w14:textId="609BA989" w:rsidR="00B1554F" w:rsidRPr="006F682A" w:rsidRDefault="00B1554F" w:rsidP="006105CB">
            <w:pPr>
              <w:jc w:val="left"/>
              <w:rPr>
                <w:szCs w:val="24"/>
              </w:rPr>
            </w:pPr>
            <w:r w:rsidRPr="006F682A">
              <w:rPr>
                <w:szCs w:val="24"/>
              </w:rPr>
              <w:t>any</w:t>
            </w:r>
          </w:p>
        </w:tc>
      </w:tr>
      <w:tr w:rsidR="00B1554F" w:rsidRPr="00664ACB" w14:paraId="7F0E0EF0" w14:textId="77777777" w:rsidTr="00B1554F">
        <w:trPr>
          <w:trHeight w:val="360"/>
          <w:jc w:val="center"/>
        </w:trPr>
        <w:tc>
          <w:tcPr>
            <w:tcW w:w="1867" w:type="dxa"/>
            <w:tcBorders>
              <w:bottom w:val="single" w:sz="4" w:space="0" w:color="auto"/>
            </w:tcBorders>
            <w:vAlign w:val="center"/>
          </w:tcPr>
          <w:p w14:paraId="7374EFDD" w14:textId="280D7D05" w:rsidR="00B1554F" w:rsidRPr="006F682A" w:rsidRDefault="00B1554F" w:rsidP="006105CB">
            <w:pPr>
              <w:jc w:val="left"/>
              <w:rPr>
                <w:szCs w:val="24"/>
              </w:rPr>
            </w:pPr>
            <w:r w:rsidRPr="006F682A">
              <w:rPr>
                <w:szCs w:val="24"/>
              </w:rPr>
              <w:t>Late Closed</w:t>
            </w:r>
          </w:p>
        </w:tc>
        <w:tc>
          <w:tcPr>
            <w:tcW w:w="1963" w:type="dxa"/>
            <w:tcBorders>
              <w:bottom w:val="single" w:sz="4" w:space="0" w:color="auto"/>
            </w:tcBorders>
            <w:vAlign w:val="center"/>
          </w:tcPr>
          <w:p w14:paraId="6822F382" w14:textId="2881EB34" w:rsidR="00B1554F" w:rsidRPr="006F682A" w:rsidRDefault="00B1554F" w:rsidP="006105CB">
            <w:pPr>
              <w:jc w:val="left"/>
              <w:rPr>
                <w:szCs w:val="24"/>
              </w:rPr>
            </w:pPr>
            <w:r w:rsidRPr="006F682A">
              <w:rPr>
                <w:szCs w:val="24"/>
              </w:rPr>
              <w:t>20”+</w:t>
            </w:r>
          </w:p>
        </w:tc>
        <w:tc>
          <w:tcPr>
            <w:tcW w:w="1886" w:type="dxa"/>
            <w:tcBorders>
              <w:bottom w:val="single" w:sz="4" w:space="0" w:color="auto"/>
            </w:tcBorders>
            <w:vAlign w:val="center"/>
          </w:tcPr>
          <w:p w14:paraId="1FE4B6BE" w14:textId="1B29012F" w:rsidR="00B1554F" w:rsidRPr="006F682A" w:rsidRDefault="00B1554F" w:rsidP="006105CB">
            <w:pPr>
              <w:jc w:val="left"/>
              <w:rPr>
                <w:szCs w:val="24"/>
              </w:rPr>
            </w:pPr>
            <w:r w:rsidRPr="006F682A">
              <w:rPr>
                <w:szCs w:val="24"/>
              </w:rPr>
              <w:t>any</w:t>
            </w:r>
          </w:p>
        </w:tc>
        <w:tc>
          <w:tcPr>
            <w:tcW w:w="1363" w:type="dxa"/>
            <w:tcBorders>
              <w:bottom w:val="single" w:sz="4" w:space="0" w:color="auto"/>
            </w:tcBorders>
            <w:vAlign w:val="center"/>
          </w:tcPr>
          <w:p w14:paraId="24435BCF" w14:textId="0F1F3301" w:rsidR="00B1554F" w:rsidRPr="006F682A" w:rsidRDefault="00B1554F" w:rsidP="009665B8">
            <w:pPr>
              <w:jc w:val="left"/>
              <w:rPr>
                <w:szCs w:val="24"/>
              </w:rPr>
            </w:pPr>
            <w:r w:rsidRPr="006F682A">
              <w:rPr>
                <w:szCs w:val="24"/>
              </w:rPr>
              <w:t>&gt;</w:t>
            </w:r>
            <w:r>
              <w:rPr>
                <w:szCs w:val="24"/>
              </w:rPr>
              <w:t>4</w:t>
            </w:r>
            <w:r w:rsidRPr="006F682A">
              <w:rPr>
                <w:szCs w:val="24"/>
              </w:rPr>
              <w:t>0</w:t>
            </w:r>
          </w:p>
        </w:tc>
        <w:tc>
          <w:tcPr>
            <w:tcW w:w="1080" w:type="dxa"/>
            <w:tcBorders>
              <w:bottom w:val="single" w:sz="4" w:space="0" w:color="auto"/>
            </w:tcBorders>
            <w:vAlign w:val="center"/>
          </w:tcPr>
          <w:p w14:paraId="4725E44C" w14:textId="3AF4796B" w:rsidR="00B1554F" w:rsidRPr="006F682A" w:rsidRDefault="00B1554F" w:rsidP="006105CB">
            <w:pPr>
              <w:jc w:val="left"/>
              <w:rPr>
                <w:szCs w:val="24"/>
              </w:rPr>
            </w:pPr>
            <w:r w:rsidRPr="006F682A">
              <w:rPr>
                <w:szCs w:val="24"/>
              </w:rPr>
              <w:t>any</w:t>
            </w:r>
          </w:p>
        </w:tc>
        <w:tc>
          <w:tcPr>
            <w:tcW w:w="1081" w:type="dxa"/>
            <w:tcBorders>
              <w:bottom w:val="single" w:sz="4" w:space="0" w:color="auto"/>
            </w:tcBorders>
            <w:vAlign w:val="center"/>
          </w:tcPr>
          <w:p w14:paraId="13B4181F" w14:textId="4FE2BF5C" w:rsidR="00B1554F" w:rsidRPr="006F682A" w:rsidRDefault="00B1554F" w:rsidP="006105CB">
            <w:pPr>
              <w:jc w:val="left"/>
              <w:rPr>
                <w:szCs w:val="24"/>
              </w:rPr>
            </w:pPr>
            <w:r w:rsidRPr="006F682A">
              <w:rPr>
                <w:szCs w:val="24"/>
              </w:rPr>
              <w:t>any</w:t>
            </w:r>
          </w:p>
        </w:tc>
      </w:tr>
    </w:tbl>
    <w:p w14:paraId="162E9852" w14:textId="77777777" w:rsidR="006105CB" w:rsidRPr="006F682A" w:rsidRDefault="006105CB" w:rsidP="006105CB">
      <w:pPr>
        <w:jc w:val="left"/>
        <w:rPr>
          <w:szCs w:val="24"/>
        </w:rPr>
      </w:pPr>
    </w:p>
    <w:p w14:paraId="7D934E23" w14:textId="77777777" w:rsidR="00016489" w:rsidRPr="00FB2311" w:rsidRDefault="00016489" w:rsidP="00016489">
      <w:pPr>
        <w:jc w:val="left"/>
        <w:rPr>
          <w:b/>
          <w:sz w:val="32"/>
          <w:szCs w:val="24"/>
        </w:rPr>
      </w:pPr>
      <w:r>
        <w:rPr>
          <w:b/>
          <w:sz w:val="32"/>
          <w:szCs w:val="24"/>
        </w:rPr>
        <w:t>Draft Model</w:t>
      </w:r>
    </w:p>
    <w:p w14:paraId="7FBBDF27" w14:textId="0E5F51AE" w:rsidR="0084599A" w:rsidRDefault="00016489" w:rsidP="00DD76B9">
      <w:pPr>
        <w:jc w:val="left"/>
      </w:pPr>
      <w:r>
        <w:rPr>
          <w:szCs w:val="24"/>
        </w:rPr>
        <w:t>(S</w:t>
      </w:r>
      <w:r>
        <w:t xml:space="preserve">ee PDF) </w:t>
      </w:r>
      <w:r w:rsidRPr="006F682A">
        <w:t xml:space="preserve">Disturbance-Succession model for </w:t>
      </w:r>
      <w:r>
        <w:t>WWP.</w:t>
      </w:r>
    </w:p>
    <w:p w14:paraId="656CD66C" w14:textId="77777777" w:rsidR="0084599A" w:rsidRDefault="0084599A" w:rsidP="0084599A"/>
    <w:p w14:paraId="1B6AE5CC" w14:textId="77777777" w:rsidR="0084599A" w:rsidRDefault="0084599A" w:rsidP="00532DE8">
      <w:pPr>
        <w:spacing w:line="276" w:lineRule="auto"/>
        <w:jc w:val="left"/>
        <w:rPr>
          <w:b/>
          <w:sz w:val="32"/>
        </w:rPr>
      </w:pPr>
      <w:r>
        <w:rPr>
          <w:b/>
          <w:sz w:val="32"/>
        </w:rPr>
        <w:t>References</w:t>
      </w:r>
    </w:p>
    <w:p w14:paraId="6EFE808C" w14:textId="77777777" w:rsidR="0084599A" w:rsidRPr="007D662A" w:rsidRDefault="0084599A" w:rsidP="00532DE8">
      <w:pPr>
        <w:spacing w:line="276" w:lineRule="auto"/>
        <w:ind w:left="720" w:hanging="720"/>
        <w:jc w:val="left"/>
      </w:pPr>
      <w:r>
        <w:t xml:space="preserve">Barrett, S., D. Havlina, J. Jones, W. Hann, C. Frame, D. Hamilton, K. Schon, T. Demeo, L. Hutter, and J. Menakis. </w:t>
      </w:r>
      <w:r>
        <w:rPr>
          <w:i/>
        </w:rPr>
        <w:t>Interagency Fire Regime Condition Class Guidebook</w:t>
      </w:r>
      <w:r>
        <w:t>. Version 3.0. USDA Forest Service, US Department of the Interior, and The Nature Conservancy, 2010. &lt;http://www.frcc.gov&gt;. Accessed 5 June 2013.</w:t>
      </w:r>
    </w:p>
    <w:p w14:paraId="349678F7" w14:textId="77777777" w:rsidR="0084599A" w:rsidRPr="004C5E60" w:rsidRDefault="0084599A" w:rsidP="00532DE8">
      <w:pPr>
        <w:spacing w:line="276" w:lineRule="auto"/>
        <w:ind w:left="720" w:hanging="720"/>
        <w:jc w:val="left"/>
      </w:pPr>
      <w:r>
        <w:t>Griffith, Randy Scott</w:t>
      </w:r>
      <w:r w:rsidRPr="004C5E60">
        <w:t xml:space="preserve">. 1993. </w:t>
      </w:r>
      <w:r>
        <w:t>“Pinus monticola</w:t>
      </w:r>
      <w:r w:rsidRPr="004C5E60">
        <w:t>.</w:t>
      </w:r>
      <w:r>
        <w:t>”</w:t>
      </w:r>
      <w:r w:rsidRPr="004C5E60">
        <w:t xml:space="preserve"> In: Fire Effects Information System, [Online].  U.S. Department of Agriculture, Forest Service,  Rocky Mountain Research Station, Fire Sciences Laboratory (Producer).  </w:t>
      </w:r>
      <w:r>
        <w:t>&lt;</w:t>
      </w:r>
      <w:r w:rsidRPr="004C5E60">
        <w:t>http://www.fs.fed.us/database/feis/</w:t>
      </w:r>
      <w:r>
        <w:t>&gt;.</w:t>
      </w:r>
      <w:r w:rsidRPr="004C5E60">
        <w:t xml:space="preserve"> [</w:t>
      </w:r>
      <w:r>
        <w:t>Accessed 4 December 2012</w:t>
      </w:r>
      <w:r w:rsidRPr="004C5E60">
        <w:t>].</w:t>
      </w:r>
    </w:p>
    <w:p w14:paraId="0BAB6A2F" w14:textId="77777777" w:rsidR="0084599A" w:rsidRDefault="0084599A" w:rsidP="00532DE8">
      <w:pPr>
        <w:spacing w:line="276" w:lineRule="auto"/>
        <w:ind w:left="720" w:hanging="720"/>
        <w:jc w:val="left"/>
      </w:pPr>
      <w:r>
        <w:t xml:space="preserve">Fites-Kaufman, Jo Ann, Phil Rundel, Nathan Stephenson, and Dave A. Wixelman. “Montane and Subalpine Vegetation of the Sierra Nevada and Cascade Ranges.” In </w:t>
      </w:r>
      <w:r>
        <w:rPr>
          <w:i/>
        </w:rPr>
        <w:t>Terrestrial Vegetation of California, 3</w:t>
      </w:r>
      <w:r w:rsidRPr="00832813">
        <w:rPr>
          <w:i/>
          <w:vertAlign w:val="superscript"/>
        </w:rPr>
        <w:t>rd</w:t>
      </w:r>
      <w:r>
        <w:rPr>
          <w:i/>
        </w:rPr>
        <w:t xml:space="preserve"> Edition</w:t>
      </w:r>
      <w:r>
        <w:t xml:space="preserve">, edited by Michael Barbour, Todd Keeler-Wolf, and Allan A. Schoenherr, 456-501. Berkeley and Los Angeles: University of California Press, 2007. </w:t>
      </w:r>
    </w:p>
    <w:p w14:paraId="4A15475E" w14:textId="0B141CF2" w:rsidR="0084599A" w:rsidRDefault="0084599A" w:rsidP="00532DE8">
      <w:pPr>
        <w:spacing w:line="276" w:lineRule="auto"/>
        <w:ind w:left="720" w:hanging="720"/>
        <w:jc w:val="left"/>
      </w:pPr>
      <w:r>
        <w:t xml:space="preserve">LandFire. “Biophysical Setting Models.” Biophysical Setting </w:t>
      </w:r>
      <w:r w:rsidR="00532DE8" w:rsidRPr="00CC5173">
        <w:t>0711720</w:t>
      </w:r>
      <w:r w:rsidR="00532DE8">
        <w:t>:</w:t>
      </w:r>
      <w:r w:rsidR="00532DE8" w:rsidRPr="00532DE8">
        <w:rPr>
          <w:rFonts w:ascii="Calibri" w:eastAsiaTheme="minorEastAsia" w:hAnsi="Calibri"/>
          <w:noProof w:val="0"/>
          <w:color w:val="000000"/>
          <w:sz w:val="20"/>
        </w:rPr>
        <w:t xml:space="preserve"> </w:t>
      </w:r>
      <w:r w:rsidR="00532DE8" w:rsidRPr="00CC5173">
        <w:t>Sierran-Intermontane Desert Western</w:t>
      </w:r>
      <w:r w:rsidR="00445779">
        <w:t xml:space="preserve"> White Pine-White Fir Woodland. 2007</w:t>
      </w:r>
      <w:r>
        <w:t>. LANDFIRE Project, U.S. Department of Agriculture, Forest Service; U.S. Department of the Interior. &lt;</w:t>
      </w:r>
      <w:r w:rsidRPr="00283D74">
        <w:t>http://www.landfire.gov/national_veg_models_op2.php</w:t>
      </w:r>
      <w:r w:rsidR="00445779">
        <w:t>&gt;. Accessed 30</w:t>
      </w:r>
      <w:r>
        <w:t xml:space="preserve"> November 2012.</w:t>
      </w:r>
    </w:p>
    <w:p w14:paraId="13F34B65" w14:textId="77777777" w:rsidR="0084599A" w:rsidRPr="00EC6359" w:rsidRDefault="0084599A" w:rsidP="00532DE8">
      <w:pPr>
        <w:widowControl w:val="0"/>
        <w:tabs>
          <w:tab w:val="left" w:pos="2250"/>
        </w:tabs>
        <w:spacing w:line="276" w:lineRule="auto"/>
        <w:ind w:left="720" w:hanging="720"/>
        <w:jc w:val="left"/>
        <w:rPr>
          <w:rFonts w:cs="Times"/>
          <w:lang w:eastAsia="ja-JP"/>
        </w:rPr>
      </w:pPr>
      <w:r>
        <w:rPr>
          <w:rFonts w:cs="Times"/>
          <w:iCs/>
          <w:color w:val="1D1D1D"/>
          <w:lang w:eastAsia="ja-JP"/>
        </w:rPr>
        <w:t xml:space="preserve">Skinner, Carl N. and Chi-Ru Chang. “Fire Regimes, Past and Present.” </w:t>
      </w:r>
      <w:r w:rsidRPr="00EC6359">
        <w:rPr>
          <w:rFonts w:cs="Palatino"/>
          <w:i/>
          <w:lang w:eastAsia="ja-JP"/>
        </w:rPr>
        <w:t>Sierra Nevada Ecosystem Project: Final report to Congress, vol. II, Assessments and scientific basis for management options</w:t>
      </w:r>
      <w:r w:rsidRPr="00EC6359">
        <w:rPr>
          <w:rFonts w:cs="Palatino"/>
          <w:lang w:eastAsia="ja-JP"/>
        </w:rPr>
        <w:t>. Davis: University of California, Centers for Water and Wildland Resources, 1996.</w:t>
      </w:r>
    </w:p>
    <w:p w14:paraId="77A00C06" w14:textId="77777777" w:rsidR="0084599A" w:rsidRDefault="0084599A" w:rsidP="00532DE8">
      <w:pPr>
        <w:spacing w:line="276" w:lineRule="auto"/>
        <w:ind w:left="720" w:hanging="720"/>
        <w:jc w:val="left"/>
        <w:rPr>
          <w:rFonts w:cs="Times"/>
          <w:iCs/>
          <w:color w:val="1D1D1D"/>
          <w:lang w:eastAsia="ja-JP"/>
        </w:rPr>
      </w:pPr>
      <w:r>
        <w:t xml:space="preserve">Van de Water, Kip M. and Hugh D. Safford. “A Summary of Fire Frequency Estimates for California Vegetation Before Euro-American Settlement.” </w:t>
      </w:r>
      <w:r>
        <w:rPr>
          <w:i/>
        </w:rPr>
        <w:t>Fire Ecology</w:t>
      </w:r>
      <w:r>
        <w:t xml:space="preserve"> 7.3 (2011): 26-57.</w:t>
      </w:r>
      <w:r w:rsidRPr="00BE12CD">
        <w:t xml:space="preserve"> </w:t>
      </w:r>
      <w:r w:rsidRPr="00BE12CD">
        <w:rPr>
          <w:rFonts w:cs="Times"/>
          <w:iCs/>
          <w:color w:val="1D1D1D"/>
          <w:lang w:eastAsia="ja-JP"/>
        </w:rPr>
        <w:t>doi: 10.4996/fireecology.0703026</w:t>
      </w:r>
      <w:r>
        <w:rPr>
          <w:rFonts w:cs="Times"/>
          <w:iCs/>
          <w:color w:val="1D1D1D"/>
          <w:lang w:eastAsia="ja-JP"/>
        </w:rPr>
        <w:t>.</w:t>
      </w:r>
    </w:p>
    <w:p w14:paraId="20EA04B4" w14:textId="77777777" w:rsidR="00E0141E" w:rsidRPr="00E0141E" w:rsidRDefault="00E0141E" w:rsidP="00532DE8">
      <w:pPr>
        <w:spacing w:line="276" w:lineRule="auto"/>
        <w:jc w:val="left"/>
      </w:pPr>
    </w:p>
    <w:sectPr w:rsidR="00E0141E" w:rsidRPr="00E0141E" w:rsidSect="00E0141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88C357D"/>
    <w:multiLevelType w:val="hybridMultilevel"/>
    <w:tmpl w:val="71AC6F6C"/>
    <w:lvl w:ilvl="0" w:tplc="0BF8A1F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defaultTabStop w:val="36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173"/>
    <w:rsid w:val="00016489"/>
    <w:rsid w:val="00041798"/>
    <w:rsid w:val="00445779"/>
    <w:rsid w:val="00532DE8"/>
    <w:rsid w:val="006105CB"/>
    <w:rsid w:val="006C3F8F"/>
    <w:rsid w:val="0084599A"/>
    <w:rsid w:val="00850388"/>
    <w:rsid w:val="009665B8"/>
    <w:rsid w:val="009C7F24"/>
    <w:rsid w:val="00A40C7F"/>
    <w:rsid w:val="00A74A20"/>
    <w:rsid w:val="00B1554F"/>
    <w:rsid w:val="00B44956"/>
    <w:rsid w:val="00B47E6E"/>
    <w:rsid w:val="00BD052E"/>
    <w:rsid w:val="00CC5173"/>
    <w:rsid w:val="00DD76B9"/>
    <w:rsid w:val="00E0141E"/>
    <w:rsid w:val="00F15C00"/>
    <w:rsid w:val="00F821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9993F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173"/>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CC5173"/>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CC5173"/>
    <w:pPr>
      <w:keepNext/>
      <w:widowControl w:val="0"/>
      <w:spacing w:before="240" w:after="120"/>
      <w:jc w:val="left"/>
      <w:outlineLvl w:val="2"/>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CC5173"/>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CC5173"/>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CC5173"/>
    <w:pPr>
      <w:numPr>
        <w:numId w:val="2"/>
      </w:numPr>
      <w:contextualSpacing/>
      <w:jc w:val="left"/>
    </w:pPr>
  </w:style>
  <w:style w:type="character" w:styleId="Hyperlink">
    <w:name w:val="Hyperlink"/>
    <w:basedOn w:val="DefaultParagraphFont"/>
    <w:uiPriority w:val="99"/>
    <w:unhideWhenUsed/>
    <w:rsid w:val="0084599A"/>
    <w:rPr>
      <w:color w:val="0000FF" w:themeColor="hyperlink"/>
      <w:u w:val="single"/>
    </w:rPr>
  </w:style>
  <w:style w:type="paragraph" w:customStyle="1" w:styleId="Table">
    <w:name w:val="Table"/>
    <w:basedOn w:val="Normal"/>
    <w:uiPriority w:val="99"/>
    <w:rsid w:val="00B47E6E"/>
    <w:pPr>
      <w:keepLines/>
      <w:spacing w:before="120"/>
      <w:jc w:val="center"/>
    </w:pPr>
  </w:style>
  <w:style w:type="paragraph" w:styleId="Caption">
    <w:name w:val="caption"/>
    <w:basedOn w:val="Normal"/>
    <w:next w:val="Normal"/>
    <w:uiPriority w:val="99"/>
    <w:qFormat/>
    <w:rsid w:val="00016489"/>
    <w:pPr>
      <w:keepLines/>
      <w:spacing w:before="120" w:after="120"/>
      <w:jc w:val="left"/>
    </w:pPr>
    <w:rPr>
      <w:szCs w:val="24"/>
    </w:rPr>
  </w:style>
  <w:style w:type="paragraph" w:styleId="BalloonText">
    <w:name w:val="Balloon Text"/>
    <w:basedOn w:val="Normal"/>
    <w:link w:val="BalloonTextChar"/>
    <w:uiPriority w:val="99"/>
    <w:semiHidden/>
    <w:unhideWhenUsed/>
    <w:rsid w:val="00B449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956"/>
    <w:rPr>
      <w:rFonts w:ascii="Lucida Grande" w:eastAsia="Times New Roman" w:hAnsi="Lucida Grande" w:cs="Lucida Grande"/>
      <w:noProof/>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173"/>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CC5173"/>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CC5173"/>
    <w:pPr>
      <w:keepNext/>
      <w:widowControl w:val="0"/>
      <w:spacing w:before="240" w:after="120"/>
      <w:jc w:val="left"/>
      <w:outlineLvl w:val="2"/>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CC5173"/>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CC5173"/>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CC5173"/>
    <w:pPr>
      <w:numPr>
        <w:numId w:val="2"/>
      </w:numPr>
      <w:contextualSpacing/>
      <w:jc w:val="left"/>
    </w:pPr>
  </w:style>
  <w:style w:type="character" w:styleId="Hyperlink">
    <w:name w:val="Hyperlink"/>
    <w:basedOn w:val="DefaultParagraphFont"/>
    <w:uiPriority w:val="99"/>
    <w:unhideWhenUsed/>
    <w:rsid w:val="0084599A"/>
    <w:rPr>
      <w:color w:val="0000FF" w:themeColor="hyperlink"/>
      <w:u w:val="single"/>
    </w:rPr>
  </w:style>
  <w:style w:type="paragraph" w:customStyle="1" w:styleId="Table">
    <w:name w:val="Table"/>
    <w:basedOn w:val="Normal"/>
    <w:uiPriority w:val="99"/>
    <w:rsid w:val="00B47E6E"/>
    <w:pPr>
      <w:keepLines/>
      <w:spacing w:before="120"/>
      <w:jc w:val="center"/>
    </w:pPr>
  </w:style>
  <w:style w:type="paragraph" w:styleId="Caption">
    <w:name w:val="caption"/>
    <w:basedOn w:val="Normal"/>
    <w:next w:val="Normal"/>
    <w:uiPriority w:val="99"/>
    <w:qFormat/>
    <w:rsid w:val="00016489"/>
    <w:pPr>
      <w:keepLines/>
      <w:spacing w:before="120" w:after="120"/>
      <w:jc w:val="left"/>
    </w:pPr>
    <w:rPr>
      <w:szCs w:val="24"/>
    </w:rPr>
  </w:style>
  <w:style w:type="paragraph" w:styleId="BalloonText">
    <w:name w:val="Balloon Text"/>
    <w:basedOn w:val="Normal"/>
    <w:link w:val="BalloonTextChar"/>
    <w:uiPriority w:val="99"/>
    <w:semiHidden/>
    <w:unhideWhenUsed/>
    <w:rsid w:val="00B449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956"/>
    <w:rPr>
      <w:rFonts w:ascii="Lucida Grande" w:eastAsia="Times New Roman" w:hAnsi="Lucida Grande" w:cs="Lucida Grande"/>
      <w:noProof/>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434363">
      <w:bodyDiv w:val="1"/>
      <w:marLeft w:val="0"/>
      <w:marRight w:val="0"/>
      <w:marTop w:val="0"/>
      <w:marBottom w:val="0"/>
      <w:divBdr>
        <w:top w:val="none" w:sz="0" w:space="0" w:color="auto"/>
        <w:left w:val="none" w:sz="0" w:space="0" w:color="auto"/>
        <w:bottom w:val="none" w:sz="0" w:space="0" w:color="auto"/>
        <w:right w:val="none" w:sz="0" w:space="0" w:color="auto"/>
      </w:divBdr>
    </w:div>
    <w:div w:id="21202485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1770</Words>
  <Characters>10090</Characters>
  <Application>Microsoft Macintosh Word</Application>
  <DocSecurity>0</DocSecurity>
  <Lines>84</Lines>
  <Paragraphs>23</Paragraphs>
  <ScaleCrop>false</ScaleCrop>
  <Company/>
  <LinksUpToDate>false</LinksUpToDate>
  <CharactersWithSpaces>11837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8</cp:revision>
  <dcterms:created xsi:type="dcterms:W3CDTF">2013-06-13T21:20:00Z</dcterms:created>
  <dcterms:modified xsi:type="dcterms:W3CDTF">2013-06-14T21:56:00Z</dcterms:modified>
</cp:coreProperties>
</file>